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Combination Permeameter</w:t>
            </w:r>
          </w:p>
          <w:p>
            <w:pPr>
              <w:pStyle w:val="para-small-spacing-after"/>
            </w:pPr>
            <w:r>
              <w:rPr>
                <w:rStyle w:val="font-normal-light"/>
              </w:rPr>
              <w:t xml:space="preserve">Code: </w:t>
            </w:r>
            <w:r>
              <w:rPr>
                <w:rStyle w:val="font-normal-highlight"/>
              </w:rPr>
              <w:t xml:space="preserve">25-0623</w:t>
            </w:r>
          </w:p>
          <w:p>
            <w:pPr>
              <w:pStyle w:val="para-normal"/>
            </w:pPr>
            <w:r>
              <w:rPr>
                <w:rStyle w:val="font-normal-light"/>
              </w:rPr>
              <w:t xml:space="preserve">Product Group: </w:t>
            </w:r>
            <w:r>
              <w:rPr>
                <w:rStyle w:val="font-normal-highlight"/>
              </w:rPr>
              <w:t xml:space="preserve">Combination Permeameter Constant or Falling Head, Combination Permeameter</w:t>
            </w:r>
          </w:p>
          <w:p>
            <w:pPr>
              <w:pStyle w:val="para-normal"/>
            </w:pPr>
            <w:r>
              <w:rPr>
                <w:rStyle w:val="font-normal"/>
              </w:rPr>
              <w:t xml:space="preserve">•Plated steel chamber head assembly
•Corrosion-resistant cast aluminum base assembly
•Includes accessories for conducting both constant and falling head permeability studies
This combination permeameter has a transparent plastic chamber for soil specimens of either fine-grained or coarse-grained soils. Generally, soils containing 10 percent or more particles passing a 75 μm sieve are tested using the falling head assembly. More granular soils, containing 90 percent or more particles retained on the 75 μm sieve, are tested using the constant head
assembly.
The cell is sealed at the top so that a vacuum may be used to saturate the specimen. Porous stones located at the top and bottom of the cell prevent sample flaking or washout. For constant head tests, a plastic funnel reservoir is mounted on an upright attached to the cell, providing a maximum head of 550 mm. Falling head tests are performed using the grGDUated pipette falling head reservoir, which gives a maximum head of 1000 mm and is graduated 0.2 ml.</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Specimen size</w:t>
            </w:r>
          </w:p>
        </w:tc>
        <w:tc>
          <w:tcPr>
            <w:tcW w:w="3000" w:type="dxa"/>
          </w:tcPr>
          <w:p>
            <w:pPr>
              <w:pStyle w:val="para-small-spacing-after"/>
            </w:pPr>
            <w:r>
              <w:rPr>
                <w:rStyle w:val="font-normal"/>
              </w:rPr>
              <w:t xml:space="preserve">63.5 x 63.5 mm (dia x l max) when using lower chamber only, 63.5 x 140 mm (dia x l max) when using both lower and extension chambers</w:t>
            </w:r>
          </w:p>
        </w:tc>
      </w:tr>
      <w:tr>
        <w:trPr/>
        <w:tc>
          <w:tcPr>
            <w:tcW w:w="3000" w:type="dxa"/>
          </w:tcPr>
          <w:p>
            <w:pPr>
              <w:pStyle w:val="para-small-spacing-after"/>
            </w:pPr>
            <w:r>
              <w:rPr>
                <w:rStyle w:val="font-normal-light"/>
              </w:rPr>
              <w:t xml:space="preserve">Chamber</w:t>
            </w:r>
          </w:p>
        </w:tc>
        <w:tc>
          <w:tcPr>
            <w:tcW w:w="3000" w:type="dxa"/>
          </w:tcPr>
          <w:p>
            <w:pPr>
              <w:pStyle w:val="para-small-spacing-after"/>
            </w:pPr>
            <w:r>
              <w:rPr>
                <w:rStyle w:val="font-normal"/>
              </w:rPr>
              <w:t xml:space="preserve">Transparent plastic, two sections</w:t>
            </w:r>
          </w:p>
        </w:tc>
      </w:tr>
      <w:tr>
        <w:trPr/>
        <w:tc>
          <w:tcPr>
            <w:tcW w:w="3000" w:type="dxa"/>
          </w:tcPr>
          <w:p>
            <w:pPr>
              <w:pStyle w:val="para-small-spacing-after"/>
            </w:pPr>
            <w:r>
              <w:rPr>
                <w:rStyle w:val="font-normal-light"/>
              </w:rPr>
              <w:t xml:space="preserve">Base</w:t>
            </w:r>
          </w:p>
        </w:tc>
        <w:tc>
          <w:tcPr>
            <w:tcW w:w="3000" w:type="dxa"/>
          </w:tcPr>
          <w:p>
            <w:pPr>
              <w:pStyle w:val="para-small-spacing-after"/>
            </w:pPr>
            <w:r>
              <w:rPr>
                <w:rStyle w:val="font-normal"/>
              </w:rPr>
              <w:t xml:space="preserve">Cast aluminium</w:t>
            </w:r>
          </w:p>
        </w:tc>
      </w:tr>
      <w:tr>
        <w:trPr/>
        <w:tc>
          <w:tcPr>
            <w:tcW w:w="3000" w:type="dxa"/>
          </w:tcPr>
          <w:p>
            <w:pPr>
              <w:pStyle w:val="para-small-spacing-after"/>
            </w:pPr>
            <w:r>
              <w:rPr>
                <w:rStyle w:val="font-normal-light"/>
              </w:rPr>
              <w:t xml:space="preserve">Top seal</w:t>
            </w:r>
          </w:p>
        </w:tc>
        <w:tc>
          <w:tcPr>
            <w:tcW w:w="3000" w:type="dxa"/>
          </w:tcPr>
          <w:p>
            <w:pPr>
              <w:pStyle w:val="para-small-spacing-after"/>
            </w:pPr>
            <w:r>
              <w:rPr>
                <w:rStyle w:val="font-normal"/>
              </w:rPr>
              <w:t xml:space="preserve">Plated steel with gaskets</w:t>
            </w:r>
          </w:p>
        </w:tc>
      </w:tr>
      <w:tr>
        <w:trPr/>
        <w:tc>
          <w:tcPr>
            <w:tcW w:w="3000" w:type="dxa"/>
          </w:tcPr>
          <w:p>
            <w:pPr>
              <w:pStyle w:val="para-small-spacing-after"/>
            </w:pPr>
            <w:r>
              <w:rPr>
                <w:rStyle w:val="font-normal-light"/>
              </w:rPr>
              <w:t xml:space="preserve">Porous Stones</w:t>
            </w:r>
          </w:p>
        </w:tc>
        <w:tc>
          <w:tcPr>
            <w:tcW w:w="3000" w:type="dxa"/>
          </w:tcPr>
          <w:p>
            <w:pPr>
              <w:pStyle w:val="para-small-spacing-after"/>
            </w:pPr>
            <w:r>
              <w:rPr>
                <w:rStyle w:val="font-normal"/>
              </w:rPr>
              <w:t xml:space="preserve">62.7 x 12.7 mm (diameter x thickness)</w:t>
            </w:r>
          </w:p>
        </w:tc>
      </w:tr>
      <w:tr>
        <w:trPr/>
        <w:tc>
          <w:tcPr>
            <w:tcW w:w="3000" w:type="dxa"/>
          </w:tcPr>
          <w:p>
            <w:pPr>
              <w:pStyle w:val="para-small-spacing-after"/>
            </w:pPr>
            <w:r>
              <w:rPr>
                <w:rStyle w:val="font-normal-light"/>
              </w:rPr>
              <w:t xml:space="preserve">Constant head</w:t>
            </w:r>
          </w:p>
        </w:tc>
        <w:tc>
          <w:tcPr>
            <w:tcW w:w="3000" w:type="dxa"/>
          </w:tcPr>
          <w:p>
            <w:pPr>
              <w:pStyle w:val="para-small-spacing-after"/>
            </w:pPr>
            <w:r>
              <w:rPr>
                <w:rStyle w:val="font-normal"/>
              </w:rPr>
              <w:t xml:space="preserve">Plastic, funnel reservoir, 550 mm
maximum head</w:t>
            </w:r>
          </w:p>
        </w:tc>
      </w:tr>
      <w:tr>
        <w:trPr/>
        <w:tc>
          <w:tcPr>
            <w:tcW w:w="3000" w:type="dxa"/>
          </w:tcPr>
          <w:p>
            <w:pPr>
              <w:pStyle w:val="para-small-spacing-after"/>
            </w:pPr>
            <w:r>
              <w:rPr>
                <w:rStyle w:val="font-normal-light"/>
              </w:rPr>
              <w:t xml:space="preserve">Falling head</w:t>
            </w:r>
          </w:p>
        </w:tc>
        <w:tc>
          <w:tcPr>
            <w:tcW w:w="3000" w:type="dxa"/>
          </w:tcPr>
          <w:p>
            <w:pPr>
              <w:pStyle w:val="para-small-spacing-after"/>
            </w:pPr>
            <w:r>
              <w:rPr>
                <w:rStyle w:val="font-normal"/>
              </w:rPr>
              <w:t xml:space="preserve">Graduated pipette, 100 ml x 0.2 ml, 1000 mm maximum head</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5</w:t>
            </w:r>
          </w:p>
        </w:tc>
      </w:tr>
      <w:tr>
        <w:trPr/>
        <w:tc>
          <w:tcPr>
            <w:tcW w:w="3000" w:type="dxa"/>
          </w:tcPr>
          <w:p>
            <w:pPr>
              <w:pStyle w:val="para-small-spacing-after"/>
            </w:pPr>
            <w:r>
              <w:rPr>
                <w:rStyle w:val="font-normal-light"/>
              </w:rPr>
              <w:t xml:space="preserve">Specimen Size</w:t>
            </w:r>
          </w:p>
        </w:tc>
        <w:tc>
          <w:tcPr>
            <w:tcW w:w="3000" w:type="dxa"/>
          </w:tcPr>
          <w:p>
            <w:pPr>
              <w:pStyle w:val="para-small-spacing-after"/>
            </w:pPr>
            <w:r>
              <w:rPr>
                <w:rStyle w:val="font-normal"/>
              </w:rPr>
              <w:t xml:space="preserve">2-1/2” diam. x 2-1/2” l. max. (63.5 x 63.5 mm) when using lower chamber only; 2-1/2” diam. x 5-1/2” l. max. (63.5 x 14 0 mm) when using both lower and extension chambers.</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Clear lucite; 1/4” (6.3 mm) wall; two sections.</w:t>
            </w:r>
          </w:p>
        </w:tc>
      </w:tr>
      <w:tr>
        <w:trPr/>
        <w:tc>
          <w:tcPr>
            <w:tcW w:w="3000" w:type="dxa"/>
          </w:tcPr>
          <w:p>
            <w:pPr>
              <w:pStyle w:val="para-small-spacing-after"/>
            </w:pPr>
            <w:r>
              <w:rPr>
                <w:rStyle w:val="font-normal-light"/>
              </w:rPr>
              <w:t xml:space="preserve">Base</w:t>
            </w:r>
          </w:p>
        </w:tc>
        <w:tc>
          <w:tcPr>
            <w:tcW w:w="3000" w:type="dxa"/>
          </w:tcPr>
          <w:p>
            <w:pPr>
              <w:pStyle w:val="para-small-spacing-after"/>
            </w:pPr>
            <w:r>
              <w:rPr>
                <w:rStyle w:val="font-normal"/>
              </w:rPr>
              <w:t xml:space="preserve">Cast aluminum.</w:t>
            </w:r>
          </w:p>
        </w:tc>
      </w:tr>
      <w:tr>
        <w:trPr/>
        <w:tc>
          <w:tcPr>
            <w:tcW w:w="3000" w:type="dxa"/>
          </w:tcPr>
          <w:p>
            <w:pPr>
              <w:pStyle w:val="para-small-spacing-after"/>
            </w:pPr>
            <w:r>
              <w:rPr>
                <w:rStyle w:val="font-normal-light"/>
              </w:rPr>
              <w:t xml:space="preserve">Top Seal</w:t>
            </w:r>
          </w:p>
        </w:tc>
        <w:tc>
          <w:tcPr>
            <w:tcW w:w="3000" w:type="dxa"/>
          </w:tcPr>
          <w:p>
            <w:pPr>
              <w:pStyle w:val="para-small-spacing-after"/>
            </w:pPr>
            <w:r>
              <w:rPr>
                <w:rStyle w:val="font-normal"/>
              </w:rPr>
              <w:t xml:space="preserve">Plated steel with gaskets.</w:t>
            </w:r>
          </w:p>
        </w:tc>
      </w:tr>
      <w:tr>
        <w:trPr/>
        <w:tc>
          <w:tcPr>
            <w:tcW w:w="3000" w:type="dxa"/>
          </w:tcPr>
          <w:p>
            <w:pPr>
              <w:pStyle w:val="para-small-spacing-after"/>
            </w:pPr>
            <w:r>
              <w:rPr>
                <w:rStyle w:val="font-normal-light"/>
              </w:rPr>
              <w:t xml:space="preserve">Porous Stones</w:t>
            </w:r>
          </w:p>
        </w:tc>
        <w:tc>
          <w:tcPr>
            <w:tcW w:w="3000" w:type="dxa"/>
          </w:tcPr>
          <w:p>
            <w:pPr>
              <w:pStyle w:val="para-small-spacing-after"/>
            </w:pPr>
            <w:r>
              <w:rPr>
                <w:rStyle w:val="font-normal"/>
              </w:rPr>
              <w:t xml:space="preserve">Mounts at top and bottom; 2.47” diam. x 1/2” thick (62.7 x 12 .7 mm); 105-120 permeability rating; 300 micron, average pore size.</w:t>
            </w:r>
          </w:p>
        </w:tc>
      </w:tr>
      <w:tr>
        <w:trPr/>
        <w:tc>
          <w:tcPr>
            <w:tcW w:w="3000" w:type="dxa"/>
          </w:tcPr>
          <w:p>
            <w:pPr>
              <w:pStyle w:val="para-small-spacing-after"/>
            </w:pPr>
            <w:r>
              <w:rPr>
                <w:rStyle w:val="font-normal-light"/>
              </w:rPr>
              <w:t xml:space="preserve">Constant Head</w:t>
            </w:r>
          </w:p>
        </w:tc>
        <w:tc>
          <w:tcPr>
            <w:tcW w:w="3000" w:type="dxa"/>
          </w:tcPr>
          <w:p>
            <w:pPr>
              <w:pStyle w:val="para-small-spacing-after"/>
            </w:pPr>
            <w:r>
              <w:rPr>
                <w:rStyle w:val="font-normal"/>
              </w:rPr>
              <w:t xml:space="preserve">Plastic; funnel reservoir; 55 cm maximum head.</w:t>
            </w:r>
          </w:p>
        </w:tc>
      </w:tr>
      <w:tr>
        <w:trPr/>
        <w:tc>
          <w:tcPr>
            <w:tcW w:w="3000" w:type="dxa"/>
          </w:tcPr>
          <w:p>
            <w:pPr>
              <w:pStyle w:val="para-small-spacing-after"/>
            </w:pPr>
            <w:r>
              <w:rPr>
                <w:rStyle w:val="font-normal-light"/>
              </w:rPr>
              <w:t xml:space="preserve">Falling Head</w:t>
            </w:r>
          </w:p>
        </w:tc>
        <w:tc>
          <w:tcPr>
            <w:tcW w:w="3000" w:type="dxa"/>
          </w:tcPr>
          <w:p>
            <w:pPr>
              <w:pStyle w:val="para-small-spacing-after"/>
            </w:pPr>
            <w:r>
              <w:rPr>
                <w:rStyle w:val="font-normal"/>
              </w:rPr>
              <w:t xml:space="preserve">Graduated pipette; 100 cc x 0.2 cc; 100 cm. maximum
head.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11 lbs. (5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Porous Stone 2.47" x .50"</w:t>
            </w:r>
          </w:p>
          <w:p>
            <w:pPr>
              <w:pStyle w:val="para-small-spacing-after"/>
            </w:pPr>
            <w:r>
              <w:rPr>
                <w:rStyle w:val="font-normal-light"/>
              </w:rPr>
              <w:t xml:space="preserve">Code: </w:t>
            </w:r>
            <w:r>
              <w:rPr>
                <w:rStyle w:val="font-normal-highlight"/>
              </w:rPr>
              <w:t xml:space="preserve">T-308</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2016-02-09T16:37:34+00:00</dcterms:created>
  <dcterms:modified xsi:type="dcterms:W3CDTF">2016-02-09T16:37:34+00:00</dcterms:modified>
</cp:coreProperties>
</file>

<file path=docProps/custom.xml><?xml version="1.0" encoding="utf-8"?>
<Properties xmlns="http://schemas.openxmlformats.org/officeDocument/2006/custom-properties" xmlns:vt="http://schemas.openxmlformats.org/officeDocument/2006/docPropsVTypes"/>
</file>