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34px; margin-top:0px; margin-left:0px;">
                  <v:imagedata r:id="rId8" o:title=""/>
                </v:shape>
              </w:pict>
            </w:r>
          </w:p>
        </w:tc>
        <w:tc>
          <w:tcPr>
            <w:tcW w:w="5000" w:type="dxa"/>
          </w:tcPr>
          <w:p>
            <w:pPr>
              <w:pStyle w:val="para-normal"/>
            </w:pPr>
            <w:r>
              <w:rPr>
                <w:rStyle w:val="font-product-name"/>
              </w:rPr>
              <w:t xml:space="preserve">Kit to Upgrade ADR-Auto Compression m/c to V2.0</w:t>
            </w:r>
          </w:p>
          <w:p>
            <w:pPr>
              <w:pStyle w:val="para-small-spacing-after"/>
            </w:pPr>
            <w:r>
              <w:rPr>
                <w:rStyle w:val="font-normal-light"/>
              </w:rPr>
              <w:t xml:space="preserve">Code: </w:t>
            </w:r>
            <w:r>
              <w:rPr>
                <w:rStyle w:val="font-normal-highlight"/>
              </w:rPr>
              <w:t xml:space="preserve">37-4900/01</w:t>
            </w:r>
          </w:p>
          <w:p>
            <w:pPr>
              <w:pStyle w:val="para-normal"/>
            </w:pPr>
            <w:r>
              <w:rPr>
                <w:rStyle w:val="font-normal-light"/>
              </w:rPr>
              <w:t xml:space="preserve">Product Group: </w:t>
            </w:r>
            <w:r>
              <w:rPr>
                <w:rStyle w:val="font-normal-highlight"/>
              </w:rPr>
              <w:t xml:space="preserve">Compression Machine Upgrades</w:t>
            </w:r>
          </w:p>
          <w:p>
            <w:pPr>
              <w:pStyle w:val="para-normal"/>
            </w:pPr>
            <w:r>
              <w:rPr>
                <w:rStyle w:val="font-normal"/>
              </w:rPr>
              <w:t xml:space="preserve">The ADR-Auto with console no. 1903B0001 can be upgraded by purchasing kit no. 37-4900/01 that contains the new ADR Auto V2.0 digital controller and a new transducer. Please be aware that the machine will need to be recalibrated. 
Whilst delivering all of the features and reputation of the established ADR-Auto V2.0 range with its 20 year design history, the new and improved user interface provides a high quality platform for testing that will enhance the performance of our compression machines. New, sophisticated electronics further the benefits of a closed-loop operation in testing concrete and cement/ mortar samples, satisfying the requirements of Quality Control Managers, Lab Managers and Technicians alike. 
 </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220-240V 50/60Hz 
Accuracy &amp; Savings
The NEW ADR-Auto V2.0 range, with 145mm (5.7") touch screen interface and intuitive menu driven operation reduces the time taken to set up the machine and perform tests, reducing the time to train staff by up to 25%. Most testing errors produce lower strength results. Noncompliant loading rates can generate errors in measured strength. With the latest closed-loop technology used in the ADR-Auto V2.0, the most effective cement ratios can be used with confidence.
Traceability &amp; Data Quality
The ADR-Auto V2.0 now provides improved data quality and traceability in due diligence cases - it is now possible to display traceability all the way from the machine/user to the accreditation body, increasing your reputation and peace of mind - all test results now come complete with the machine serial number attached. Prove your service quality - the ADR-Auto V2.0 now plots load vs time in real-time, proving full compliance to the testing standard. This data can be stored for later use or for detailed analysis of the concrete production.
User Safety
Full safety gates as standard, total systems diagnostics, ram run-out switches and overload warnings ensure the safety of your employees and the reliability of your machine.</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Testing Standards</w:t>
            </w:r>
          </w:p>
        </w:tc>
        <w:tc>
          <w:tcPr>
            <w:tcW w:w="3000" w:type="dxa"/>
          </w:tcPr>
          <w:p>
            <w:pPr>
              <w:pStyle w:val="para-small-spacing-after"/>
            </w:pPr>
            <w:r>
              <w:rPr>
                <w:rStyle w:val="font-normal"/>
              </w:rPr>
              <w:t xml:space="preserve">BS EN 12390, BS EN 12390-3, BS EN 12390-4, BS EN 12390-5, EN 12504-1, EN 1354, EN 1521, EN 3161, EN 1338, EN 772-6, EN 13286-41, BS 3892-3, BS 187, BS 6717, BS EN ISO 7500-1, ASTM E4</w:t>
            </w:r>
          </w:p>
        </w:tc>
      </w:tr>
      <w:tr>
        <w:trPr/>
        <w:tc>
          <w:tcPr>
            <w:tcW w:w="3000" w:type="dxa"/>
          </w:tcPr>
          <w:p>
            <w:pPr>
              <w:pStyle w:val="para-small-spacing-after"/>
            </w:pPr>
            <w:r>
              <w:rPr>
                <w:rStyle w:val="font-normal-light"/>
              </w:rPr>
              <w:t xml:space="preserve">Cubes (Concrete)</w:t>
            </w:r>
          </w:p>
        </w:tc>
        <w:tc>
          <w:tcPr>
            <w:tcW w:w="3000" w:type="dxa"/>
          </w:tcPr>
          <w:p>
            <w:pPr>
              <w:pStyle w:val="para-small-spacing-after"/>
            </w:pPr>
            <w:r>
              <w:rPr>
                <w:rStyle w:val="font-normal"/>
              </w:rPr>
              <w:t xml:space="preserve">Up to 200 mm</w:t>
            </w:r>
          </w:p>
        </w:tc>
      </w:tr>
      <w:tr>
        <w:trPr/>
        <w:tc>
          <w:tcPr>
            <w:tcW w:w="3000" w:type="dxa"/>
          </w:tcPr>
          <w:p>
            <w:pPr>
              <w:pStyle w:val="para-small-spacing-after"/>
            </w:pPr>
            <w:r>
              <w:rPr>
                <w:rStyle w:val="font-normal-light"/>
              </w:rPr>
              <w:t xml:space="preserve">Cylinders (Concrete)</w:t>
            </w:r>
          </w:p>
        </w:tc>
        <w:tc>
          <w:tcPr>
            <w:tcW w:w="3000" w:type="dxa"/>
          </w:tcPr>
          <w:p>
            <w:pPr>
              <w:pStyle w:val="para-small-spacing-after"/>
            </w:pPr>
            <w:r>
              <w:rPr>
                <w:rStyle w:val="font-normal"/>
              </w:rPr>
              <w:t xml:space="preserve">Up to 160 x 320 mm</w:t>
            </w:r>
          </w:p>
        </w:tc>
      </w:tr>
      <w:tr>
        <w:trPr/>
        <w:tc>
          <w:tcPr>
            <w:tcW w:w="3000" w:type="dxa"/>
          </w:tcPr>
          <w:p>
            <w:pPr>
              <w:pStyle w:val="para-small-spacing-after"/>
            </w:pPr>
            <w:r>
              <w:rPr>
                <w:rStyle w:val="font-normal-light"/>
              </w:rPr>
              <w:t xml:space="preserve">Blocks</w:t>
            </w:r>
          </w:p>
        </w:tc>
        <w:tc>
          <w:tcPr>
            <w:tcW w:w="3000" w:type="dxa"/>
          </w:tcPr>
          <w:p>
            <w:pPr>
              <w:pStyle w:val="para-small-spacing-after"/>
            </w:pPr>
            <w:r>
              <w:rPr>
                <w:rStyle w:val="font-normal"/>
              </w:rPr>
              <w:t xml:space="preserve">Via optional Platen Handling System</w:t>
            </w:r>
          </w:p>
        </w:tc>
      </w:tr>
      <w:tr>
        <w:trPr/>
        <w:tc>
          <w:tcPr>
            <w:tcW w:w="3000" w:type="dxa"/>
          </w:tcPr>
          <w:p>
            <w:pPr>
              <w:pStyle w:val="para-small-spacing-after"/>
            </w:pPr>
            <w:r>
              <w:rPr>
                <w:rStyle w:val="font-normal-light"/>
              </w:rPr>
              <w:t xml:space="preserve">TFV and ACV</w:t>
            </w:r>
          </w:p>
        </w:tc>
        <w:tc>
          <w:tcPr>
            <w:tcW w:w="3000" w:type="dxa"/>
          </w:tcPr>
          <w:p>
            <w:pPr>
              <w:pStyle w:val="para-small-spacing-after"/>
            </w:pPr>
            <w:r>
              <w:rPr>
                <w:rStyle w:val="font-normal"/>
              </w:rPr>
              <w:t xml:space="preserve">Yes</w:t>
            </w:r>
          </w:p>
        </w:tc>
      </w:tr>
      <w:tr>
        <w:trPr/>
        <w:tc>
          <w:tcPr>
            <w:tcW w:w="3000" w:type="dxa"/>
          </w:tcPr>
          <w:p>
            <w:pPr>
              <w:pStyle w:val="para-small-spacing-after"/>
            </w:pPr>
            <w:r>
              <w:rPr>
                <w:rStyle w:val="font-normal-light"/>
              </w:rPr>
              <w:t xml:space="preserve">Voltage Supply</w:t>
            </w:r>
          </w:p>
        </w:tc>
        <w:tc>
          <w:tcPr>
            <w:tcW w:w="3000" w:type="dxa"/>
          </w:tcPr>
          <w:p>
            <w:pPr>
              <w:pStyle w:val="para-small-spacing-after"/>
            </w:pPr>
            <w:r>
              <w:rPr>
                <w:rStyle w:val="font-normal"/>
              </w:rPr>
              <w:t xml:space="preserve">220-240 V 50 Hz 1 Ph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2016-02-09T16:44:20+00:00</dcterms:created>
  <dcterms:modified xsi:type="dcterms:W3CDTF">2016-02-09T16:44:20+00:00</dcterms:modified>
</cp:coreProperties>
</file>

<file path=docProps/custom.xml><?xml version="1.0" encoding="utf-8"?>
<Properties xmlns="http://schemas.openxmlformats.org/officeDocument/2006/custom-properties" xmlns:vt="http://schemas.openxmlformats.org/officeDocument/2006/docPropsVTypes"/>
</file>