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353.98230088496px; margin-top:0px; margin-left:0px;">
                  <v:imagedata r:id="rId8" o:title=""/>
                </v:shape>
              </w:pict>
            </w:r>
          </w:p>
        </w:tc>
        <w:tc>
          <w:tcPr>
            <w:tcW w:w="5000" w:type="dxa"/>
          </w:tcPr>
          <w:p>
            <w:pPr>
              <w:pStyle w:val="para-normal"/>
            </w:pPr>
            <w:r>
              <w:rPr>
                <w:rStyle w:val="font-product-name"/>
              </w:rPr>
              <w:t xml:space="preserve">Length Comparator</w:t>
            </w:r>
          </w:p>
          <w:p>
            <w:pPr>
              <w:pStyle w:val="para-small-spacing-after"/>
            </w:pPr>
            <w:r>
              <w:rPr>
                <w:rStyle w:val="font-normal-light"/>
              </w:rPr>
              <w:t xml:space="preserve">Code: </w:t>
            </w:r>
            <w:r>
              <w:rPr>
                <w:rStyle w:val="font-normal-highlight"/>
              </w:rPr>
              <w:t xml:space="preserve">SP34-8501</w:t>
            </w:r>
          </w:p>
          <w:p>
            <w:pPr>
              <w:pStyle w:val="para-normal"/>
            </w:pPr>
            <w:r>
              <w:rPr>
                <w:rStyle w:val="font-normal-light"/>
              </w:rPr>
              <w:t xml:space="preserve">Product Group: </w:t>
            </w:r>
            <w:r>
              <w:rPr>
                <w:rStyle w:val="font-normal-highlight"/>
              </w:rPr>
              <w:t xml:space="preserve">Measuring Equipment</w:t>
            </w:r>
          </w:p>
          <w:p>
            <w:pPr>
              <w:pStyle w:val="para-normal"/>
            </w:pPr>
            <w:r>
              <w:rPr>
                <w:rStyle w:val="font-normal"/>
              </w:rPr>
              <w:t xml:space="preserve">Used to measure the length variations of mortar specimens after autoclave soundness tests. The top beam is adjustable to suit the specimen's length. 
It also measures the linear shrinkage of specimens having different dimensions such as 40 x 40 x 160 mm or 25 x 25 x 250 mm. 
Supplied with Digital Gauge, 15.3 mm travel by 0.001 mm divisions complete with battery.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C348, ASTM C490, EN 12617-4, EN 12808-4</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2016-02-09T16:59:57+00:00</dcterms:created>
  <dcterms:modified xsi:type="dcterms:W3CDTF">2016-02-09T16:59:57+00:00</dcterms:modified>
</cp:coreProperties>
</file>

<file path=docProps/custom.xml><?xml version="1.0" encoding="utf-8"?>
<Properties xmlns="http://schemas.openxmlformats.org/officeDocument/2006/custom-properties" xmlns:vt="http://schemas.openxmlformats.org/officeDocument/2006/docPropsVTypes"/>
</file>