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Visible Range Spectro- Photometer with 100 Plastic Cuvettes (10 X 10mm) Cell Holder &amp; Mains Lead</w:t>
            </w:r>
          </w:p>
          <w:p>
            <w:pPr>
              <w:pStyle w:val="para-small-spacing-after"/>
            </w:pPr>
            <w:r>
              <w:rPr>
                <w:rStyle w:val="font-normal-light"/>
              </w:rPr>
              <w:t xml:space="preserve">Code: </w:t>
            </w:r>
            <w:r>
              <w:rPr>
                <w:rStyle w:val="font-normal-highlight"/>
              </w:rPr>
              <w:t xml:space="preserve">485-030/01</w:t>
            </w:r>
          </w:p>
          <w:p>
            <w:pPr>
              <w:pStyle w:val="para-normal"/>
            </w:pPr>
            <w:r>
              <w:rPr>
                <w:rStyle w:val="font-normal-light"/>
              </w:rPr>
              <w:t xml:space="preserve">Product Group: </w:t>
            </w:r>
            <w:r>
              <w:rPr>
                <w:rStyle w:val="font-normal-highlight"/>
              </w:rPr>
              <w:t xml:space="preserve">General laboratory instrumentation</w:t>
            </w:r>
          </w:p>
          <w:p>
            <w:pPr>
              <w:pStyle w:val="para-normal"/>
            </w:pPr>
            <w:r>
              <w:rPr>
                <w:rStyle w:val="font-normal"/>
              </w:rPr>
              <w:t xml:space="preserve">• Microprocessor-controlled.
• Digital display 320-920 nm wavelength.
• Automatic zero and calibration.
This instrument combines advanced electronics with a high quality optical system operating over the range 320-920 nm.
The monochrominator is a modified Czerny Turner design. It incorporatesa cam-driven 1200 lines/mm holographic diffraction grating and features automatic second order resonse supression. The complete optical system is housed in an independently enclosed unit for maximum protection.
Careful design has ensured that heat transfer to the sample is minimised. This enables precise measurements to be performed on a temperature dependent basis. A low noise, high stability and solid state detector for accurate reproducible results combined with a rigid structure provides a system with fast warm-up, low drift and high reliability</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complete with 100 plastic 10 x 10 mm cuvettes, 10 x 10 mm cell holder and mains lead.</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2016-02-09T16:49:57+00:00</dcterms:created>
  <dcterms:modified xsi:type="dcterms:W3CDTF">2016-02-09T16:49:57+00:00</dcterms:modified>
</cp:coreProperties>
</file>

<file path=docProps/custom.xml><?xml version="1.0" encoding="utf-8"?>
<Properties xmlns="http://schemas.openxmlformats.org/officeDocument/2006/custom-properties" xmlns:vt="http://schemas.openxmlformats.org/officeDocument/2006/docPropsVTypes"/>
</file>