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ELE-Hoek Cell ADR Touch 2000 Compression Machine. 220 - 240 V 50/60H z</w:t>
            </w:r>
          </w:p>
          <w:p>
            <w:pPr>
              <w:pStyle w:val="para-small-spacing-after"/>
            </w:pPr>
            <w:r>
              <w:rPr>
                <w:rStyle w:val="font-normal-light"/>
              </w:rPr>
              <w:t xml:space="preserve">Code: </w:t>
            </w:r>
            <w:r>
              <w:rPr>
                <w:rStyle w:val="font-normal-highlight"/>
              </w:rPr>
              <w:t xml:space="preserve">70-2630/01</w:t>
            </w:r>
          </w:p>
          <w:p>
            <w:pPr>
              <w:pStyle w:val="para-normal"/>
            </w:pPr>
            <w:r>
              <w:rPr>
                <w:rStyle w:val="font-normal-light"/>
              </w:rPr>
              <w:t xml:space="preserve">Product Group: </w:t>
            </w:r>
            <w:r>
              <w:rPr>
                <w:rStyle w:val="font-normal-highlight"/>
              </w:rPr>
              <w:t xml:space="preserve">Triaxial Testing</w:t>
            </w:r>
          </w:p>
          <w:p>
            <w:pPr>
              <w:pStyle w:val="para-normal"/>
            </w:pPr>
            <w:r>
              <w:rPr>
                <w:rStyle w:val="font-normal"/>
              </w:rPr>
              <w:t xml:space="preserve">• High stability load frame 
• Calibration accuracy satisfies BS EN ISO 7500-1, ASTM E4
This machine incorporates the ADR Touch Microprocessor System. The ADR is designed to minimise data entry during normal testing procedures. These machines are specially adapted for use with ELE Hoek Triaxial Cells and feature fixed upper and lower platens with locations to centralise the triaxial cell assembly for maximum stability.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BS EN ISO 7500-1, ASTM E4</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complete with digital readout, power pack, special upper and lower platens and gates. For 220 - 240 V AC, 50 - 60 Hz, 1 ph.</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 (l x w x h)</w:t>
            </w:r>
          </w:p>
        </w:tc>
        <w:tc>
          <w:tcPr>
            <w:tcW w:w="3000" w:type="dxa"/>
          </w:tcPr>
          <w:p>
            <w:pPr>
              <w:pStyle w:val="para-small-spacing-after"/>
            </w:pPr>
            <w:r>
              <w:rPr>
                <w:rStyle w:val="font-normal"/>
              </w:rPr>
              <w:t xml:space="preserve">520 x 700 x 1300 mm</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2000 kN</w:t>
            </w:r>
          </w:p>
        </w:tc>
      </w:tr>
      <w:tr>
        <w:trPr/>
        <w:tc>
          <w:tcPr>
            <w:tcW w:w="3000" w:type="dxa"/>
          </w:tcPr>
          <w:p>
            <w:pPr>
              <w:pStyle w:val="para-small-spacing-after"/>
            </w:pPr>
            <w:r>
              <w:rPr>
                <w:rStyle w:val="font-normal-light"/>
              </w:rPr>
              <w:t xml:space="preserve">Ram travel</w:t>
            </w:r>
          </w:p>
        </w:tc>
        <w:tc>
          <w:tcPr>
            <w:tcW w:w="3000" w:type="dxa"/>
          </w:tcPr>
          <w:p>
            <w:pPr>
              <w:pStyle w:val="para-small-spacing-after"/>
            </w:pPr>
            <w:r>
              <w:rPr>
                <w:rStyle w:val="font-normal"/>
              </w:rPr>
              <w:t xml:space="preserve">50 mm</w:t>
            </w:r>
          </w:p>
        </w:tc>
      </w:tr>
      <w:tr>
        <w:trPr/>
        <w:tc>
          <w:tcPr>
            <w:tcW w:w="3000" w:type="dxa"/>
          </w:tcPr>
          <w:p>
            <w:pPr>
              <w:pStyle w:val="para-small-spacing-after"/>
            </w:pPr>
            <w:r>
              <w:rPr>
                <w:rStyle w:val="font-normal-light"/>
              </w:rPr>
              <w:t xml:space="preserve">Display</w:t>
            </w:r>
          </w:p>
        </w:tc>
        <w:tc>
          <w:tcPr>
            <w:tcW w:w="3000" w:type="dxa"/>
          </w:tcPr>
          <w:p>
            <w:pPr>
              <w:pStyle w:val="para-small-spacing-after"/>
            </w:pPr>
            <w:r>
              <w:rPr>
                <w:rStyle w:val="font-normal"/>
              </w:rPr>
              <w:t xml:space="preserve">ADR Digital Readout</w:t>
            </w:r>
          </w:p>
        </w:tc>
      </w:tr>
      <w:tr>
        <w:trPr/>
        <w:tc>
          <w:tcPr>
            <w:tcW w:w="3000" w:type="dxa"/>
          </w:tcPr>
          <w:p>
            <w:pPr>
              <w:pStyle w:val="para-small-spacing-after"/>
            </w:pPr>
            <w:r>
              <w:rPr>
                <w:rStyle w:val="font-normal-light"/>
              </w:rPr>
              <w:t xml:space="preserve">Platen diameter</w:t>
            </w:r>
          </w:p>
        </w:tc>
        <w:tc>
          <w:tcPr>
            <w:tcW w:w="3000" w:type="dxa"/>
          </w:tcPr>
          <w:p>
            <w:pPr>
              <w:pStyle w:val="para-small-spacing-after"/>
            </w:pPr>
            <w:r>
              <w:rPr>
                <w:rStyle w:val="font-normal"/>
              </w:rPr>
              <w:t xml:space="preserve">178 mm</w:t>
            </w:r>
          </w:p>
        </w:tc>
      </w:tr>
      <w:tr>
        <w:trPr/>
        <w:tc>
          <w:tcPr>
            <w:tcW w:w="3000" w:type="dxa"/>
          </w:tcPr>
          <w:p>
            <w:pPr>
              <w:pStyle w:val="para-small-spacing-after"/>
            </w:pPr>
            <w:r>
              <w:rPr>
                <w:rStyle w:val="font-normal-light"/>
              </w:rPr>
              <w:t xml:space="preserve">Accuracy</w:t>
            </w:r>
          </w:p>
        </w:tc>
        <w:tc>
          <w:tcPr>
            <w:tcW w:w="3000" w:type="dxa"/>
          </w:tcPr>
          <w:p>
            <w:pPr>
              <w:pStyle w:val="para-small-spacing-after"/>
            </w:pPr>
            <w:r>
              <w:rPr>
                <w:rStyle w:val="font-normal"/>
              </w:rPr>
              <w:t xml:space="preserve">Better than ± 1% over upper 90% of working range</w:t>
            </w:r>
          </w:p>
        </w:tc>
      </w:tr>
      <w:tr>
        <w:trPr/>
        <w:tc>
          <w:tcPr>
            <w:tcW w:w="3000" w:type="dxa"/>
          </w:tcPr>
          <w:p>
            <w:pPr>
              <w:pStyle w:val="para-small-spacing-after"/>
            </w:pPr>
            <w:r>
              <w:rPr>
                <w:rStyle w:val="font-normal-light"/>
              </w:rPr>
              <w:t xml:space="preserve">Rated power</w:t>
            </w:r>
          </w:p>
        </w:tc>
        <w:tc>
          <w:tcPr>
            <w:tcW w:w="3000" w:type="dxa"/>
          </w:tcPr>
          <w:p>
            <w:pPr>
              <w:pStyle w:val="para-small-spacing-after"/>
            </w:pPr>
            <w:r>
              <w:rPr>
                <w:rStyle w:val="font-normal"/>
              </w:rPr>
              <w:t xml:space="preserve">1350 W</w:t>
            </w:r>
          </w:p>
        </w:tc>
      </w:tr>
      <w:tr>
        <w:trPr/>
        <w:tc>
          <w:tcPr>
            <w:tcW w:w="3000" w:type="dxa"/>
          </w:tcPr>
          <w:p>
            <w:pPr>
              <w:pStyle w:val="para-small-spacing-after"/>
            </w:pPr>
            <w:r>
              <w:rPr>
                <w:rStyle w:val="font-normal-light"/>
              </w:rPr>
              <w:t xml:space="preserve">Weight 600 kg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Spare Jacket Nx Size.</w:t>
            </w:r>
          </w:p>
          <w:p>
            <w:pPr>
              <w:pStyle w:val="para-small-spacing-after"/>
            </w:pPr>
            <w:r>
              <w:rPr>
                <w:rStyle w:val="font-normal-light"/>
              </w:rPr>
              <w:t xml:space="preserve">Code: </w:t>
            </w:r>
            <w:r>
              <w:rPr>
                <w:rStyle w:val="font-normal-highlight"/>
              </w:rPr>
              <w:t xml:space="preserve">70-1712</w:t>
            </w:r>
          </w:p>
        </w:tc>
      </w:tr>
      <w:tr>
        <w:trPr/>
        <w:tc>
          <w:tcPr>
            <w:tcW w:w="" w:type="dxa"/>
          </w:tcPr>
          <w:p>
            <w:pPr>
              <w:pStyle w:val="para-no-spacing-after"/>
            </w:pPr>
            <w:pPr>
              <w:rPr>
                <w:rStyle w:val="font-normal"/>
              </w:rPr>
            </w:pPr>
          </w:p>
        </w:tc>
      </w:tr>
    </w:tbl>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2016-02-09T16:51:58+00:00</dcterms:created>
  <dcterms:modified xsi:type="dcterms:W3CDTF">2016-02-09T16:51:58+00:00</dcterms:modified>
</cp:coreProperties>
</file>

<file path=docProps/custom.xml><?xml version="1.0" encoding="utf-8"?>
<Properties xmlns="http://schemas.openxmlformats.org/officeDocument/2006/custom-properties" xmlns:vt="http://schemas.openxmlformats.org/officeDocument/2006/docPropsVTypes"/>
</file>