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50px; margin-top:0px; margin-left:0px;">
                  <v:imagedata r:id="rId8" o:title=""/>
                </v:shape>
              </w:pict>
            </w:r>
          </w:p>
        </w:tc>
        <w:tc>
          <w:tcPr>
            <w:tcW w:w="5000" w:type="dxa"/>
          </w:tcPr>
          <w:p>
            <w:pPr>
              <w:pStyle w:val="para-normal"/>
            </w:pPr>
            <w:r>
              <w:rPr>
                <w:rStyle w:val="font-product-name"/>
              </w:rPr>
              <w:t xml:space="preserve">Standard Concrete Test Hammer</w:t>
            </w:r>
          </w:p>
          <w:p>
            <w:pPr>
              <w:pStyle w:val="para-small-spacing-after"/>
            </w:pPr>
            <w:r>
              <w:rPr>
                <w:rStyle w:val="font-normal-light"/>
              </w:rPr>
              <w:t xml:space="preserve">Code: </w:t>
            </w:r>
            <w:r>
              <w:rPr>
                <w:rStyle w:val="font-normal-highlight"/>
              </w:rPr>
              <w:t xml:space="preserve">35-1480</w:t>
            </w:r>
          </w:p>
          <w:p>
            <w:pPr>
              <w:pStyle w:val="para-normal"/>
            </w:pPr>
            <w:r>
              <w:rPr>
                <w:rStyle w:val="font-normal-light"/>
              </w:rPr>
              <w:t xml:space="preserve">Product Group: </w:t>
            </w:r>
            <w:r>
              <w:rPr>
                <w:rStyle w:val="font-normal-highlight"/>
              </w:rPr>
              <w:t xml:space="preserve">Concrete Test Hammer, Surface Hardness</w:t>
            </w:r>
          </w:p>
          <w:p>
            <w:pPr>
              <w:pStyle w:val="para-normal"/>
            </w:pPr>
            <w:r>
              <w:rPr>
                <w:rStyle w:val="font-normal"/>
              </w:rPr>
              <w:t xml:space="preserve">The hammer is intended for testing the quality of concrete in finished structures such as buildings and bridges. Supplied complete with carrying case and carborundum stone, the hammer is suitable for testing concrete with compressive strengths of 10 to 70 N/mm2.</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C805</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Body</w:t>
            </w:r>
          </w:p>
        </w:tc>
        <w:tc>
          <w:tcPr>
            <w:tcW w:w="3000" w:type="dxa"/>
          </w:tcPr>
          <w:p>
            <w:pPr>
              <w:pStyle w:val="para-small-spacing-after"/>
            </w:pPr>
            <w:r>
              <w:rPr>
                <w:rStyle w:val="font-normal"/>
              </w:rPr>
              <w:t xml:space="preserve">Includes indicator scale, calibration curves.</w:t>
            </w:r>
          </w:p>
        </w:tc>
      </w:tr>
      <w:tr>
        <w:trPr/>
        <w:tc>
          <w:tcPr>
            <w:tcW w:w="3000" w:type="dxa"/>
          </w:tcPr>
          <w:p>
            <w:pPr>
              <w:pStyle w:val="para-small-spacing-after"/>
            </w:pPr>
            <w:r>
              <w:rPr>
                <w:rStyle w:val="font-normal-light"/>
              </w:rPr>
              <w:t xml:space="preserve">Calibration Curves</w:t>
            </w:r>
          </w:p>
        </w:tc>
        <w:tc>
          <w:tcPr>
            <w:tcW w:w="3000" w:type="dxa"/>
          </w:tcPr>
          <w:p>
            <w:pPr>
              <w:pStyle w:val="para-small-spacing-after"/>
            </w:pPr>
            <w:r>
              <w:rPr>
                <w:rStyle w:val="font-normal"/>
              </w:rPr>
              <w:t xml:space="preserve">Rebound number vs. compressive strength.</w:t>
            </w:r>
          </w:p>
        </w:tc>
      </w:tr>
      <w:tr>
        <w:trPr/>
        <w:tc>
          <w:tcPr>
            <w:tcW w:w="3000" w:type="dxa"/>
          </w:tcPr>
          <w:p>
            <w:pPr>
              <w:pStyle w:val="para-small-spacing-after"/>
            </w:pPr>
            <w:r>
              <w:rPr>
                <w:rStyle w:val="font-normal-light"/>
              </w:rPr>
              <w:t xml:space="preserve">Rubbing Stone</w:t>
            </w:r>
          </w:p>
        </w:tc>
        <w:tc>
          <w:tcPr>
            <w:tcW w:w="3000" w:type="dxa"/>
          </w:tcPr>
          <w:p>
            <w:pPr>
              <w:pStyle w:val="para-small-spacing-after"/>
            </w:pPr>
            <w:r>
              <w:rPr>
                <w:rStyle w:val="font-normal"/>
              </w:rPr>
              <w:t xml:space="preserve">Prepares test surface.</w:t>
            </w:r>
          </w:p>
        </w:tc>
      </w:tr>
      <w:tr>
        <w:trPr/>
        <w:tc>
          <w:tcPr>
            <w:tcW w:w="3000" w:type="dxa"/>
          </w:tcPr>
          <w:p>
            <w:pPr>
              <w:pStyle w:val="para-small-spacing-after"/>
            </w:pPr>
            <w:r>
              <w:rPr>
                <w:rStyle w:val="font-normal-light"/>
              </w:rPr>
              <w:t xml:space="preserve">Accuracy</w:t>
            </w:r>
          </w:p>
        </w:tc>
        <w:tc>
          <w:tcPr>
            <w:tcW w:w="3000" w:type="dxa"/>
          </w:tcPr>
          <w:p>
            <w:pPr>
              <w:pStyle w:val="para-small-spacing-after"/>
            </w:pPr>
            <w:r>
              <w:rPr>
                <w:rStyle w:val="font-normal"/>
              </w:rPr>
              <w:t xml:space="preserve">Within 15 %.</w:t>
            </w:r>
          </w:p>
        </w:tc>
      </w:tr>
      <w:tr>
        <w:trPr/>
        <w:tc>
          <w:tcPr>
            <w:tcW w:w="3000" w:type="dxa"/>
          </w:tcPr>
          <w:p>
            <w:pPr>
              <w:pStyle w:val="para-small-spacing-after"/>
            </w:pPr>
            <w:r>
              <w:rPr>
                <w:rStyle w:val="font-normal-light"/>
              </w:rPr>
              <w:t xml:space="preserve">Carrying Case</w:t>
            </w:r>
          </w:p>
        </w:tc>
        <w:tc>
          <w:tcPr>
            <w:tcW w:w="3000" w:type="dxa"/>
          </w:tcPr>
          <w:p>
            <w:pPr>
              <w:pStyle w:val="para-small-spacing-after"/>
            </w:pPr>
            <w:r>
              <w:rPr>
                <w:rStyle w:val="font-normal"/>
              </w:rPr>
              <w:t xml:space="preserve">Plastic.</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3 lbs. (1.4 kg).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Rubbing Stone</w:t>
            </w:r>
          </w:p>
          <w:p>
            <w:pPr>
              <w:pStyle w:val="para-small-spacing-after"/>
            </w:pPr>
            <w:r>
              <w:rPr>
                <w:rStyle w:val="font-normal-light"/>
              </w:rPr>
              <w:t xml:space="preserve">Code: </w:t>
            </w:r>
            <w:r>
              <w:rPr>
                <w:rStyle w:val="font-normal-highlight"/>
              </w:rPr>
              <w:t xml:space="preserve">35-1475/10</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2016-02-09T16:43:02+00:00</dcterms:created>
  <dcterms:modified xsi:type="dcterms:W3CDTF">2016-02-09T16:43:02+00:00</dcterms:modified>
</cp:coreProperties>
</file>

<file path=docProps/custom.xml><?xml version="1.0" encoding="utf-8"?>
<Properties xmlns="http://schemas.openxmlformats.org/officeDocument/2006/custom-properties" xmlns:vt="http://schemas.openxmlformats.org/officeDocument/2006/docPropsVTypes"/>
</file>