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134px; margin-top:0px; margin-left:0px;">
                  <v:imagedata r:id="rId8" o:title=""/>
                </v:shape>
              </w:pict>
            </w:r>
          </w:p>
        </w:tc>
        <w:tc>
          <w:tcPr>
            <w:tcW w:w="5000" w:type="dxa"/>
          </w:tcPr>
          <w:p>
            <w:pPr>
              <w:pStyle w:val="para-normal"/>
            </w:pPr>
            <w:r>
              <w:rPr>
                <w:rStyle w:val="font-product-name"/>
              </w:rPr>
              <w:t xml:space="preserve">Pocket Penetrometer.</w:t>
            </w:r>
          </w:p>
          <w:p>
            <w:pPr>
              <w:pStyle w:val="para-small-spacing-after"/>
            </w:pPr>
            <w:r>
              <w:rPr>
                <w:rStyle w:val="font-normal-light"/>
              </w:rPr>
              <w:t xml:space="preserve">Code: </w:t>
            </w:r>
            <w:r>
              <w:rPr>
                <w:rStyle w:val="font-normal-highlight"/>
              </w:rPr>
              <w:t xml:space="preserve">29-3729</w:t>
            </w:r>
          </w:p>
          <w:p>
            <w:pPr>
              <w:pStyle w:val="para-normal"/>
            </w:pPr>
            <w:r>
              <w:rPr>
                <w:rStyle w:val="font-normal-light"/>
              </w:rPr>
              <w:t xml:space="preserve">Product Group: </w:t>
            </w:r>
            <w:r>
              <w:rPr>
                <w:rStyle w:val="font-normal-highlight"/>
              </w:rPr>
              <w:t xml:space="preserve">Pocket Penetrometer, In-situ Testing</w:t>
            </w:r>
          </w:p>
          <w:p>
            <w:pPr>
              <w:pStyle w:val="para-normal"/>
            </w:pPr>
            <w:r>
              <w:rPr>
                <w:rStyle w:val="font-normal"/>
              </w:rPr>
              <w:t xml:space="preserve">• Direct-reading scale in tons/sq. ft. and kg/sq. cm.
• Ground and polished stainless steel loading piston.
• Calibrated spring and penetrometer body plated for rust resistance and long life.
• Convenient belt-loop style carrying case.
• Optional Adapter Foot for testing very soft materials.
The Pocket Penetrometer was originally developed for use by field personnel in checking visual classification of soils. Data was compiled on several thousand unconfined compressive strength tests of silty clays and clayey soils against the penetrometer readings to develop the scale. 
</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IMPORTANT: the readings obtained from the pocket penetrometer do not replace laboratory test results due to the fact that a small area penetration test is inherently liable to give misleading results. The instrument should not be used for obtaining foundation design data.</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3000" w:type="dxa"/>
        <w:gridCol w:w="3000" w:type="dxa"/>
      </w:tblGrid>
      <w:tblPr>
        <w:tblStyle w:val="table-normal"/>
      </w:tblPr>
      <w:tr>
        <w:trPr/>
        <w:tc>
          <w:tcPr>
            <w:tcW w:w="9000" w:type="dxa"/>
          </w:tcPr>
          <w:p>
            <w:pPr>
              <w:pStyle w:val="para-small-spacing-after"/>
            </w:pPr>
            <w:r>
              <w:rPr>
                <w:rStyle w:val="font-subheading"/>
              </w:rPr>
              <w:t xml:space="preserve">Specification</w:t>
            </w:r>
          </w:p>
        </w:tc>
      </w:tr>
      <w:tr>
        <w:trPr/>
        <w:tc>
          <w:tcPr>
            <w:tcW w:w="3000" w:type="dxa"/>
          </w:tcPr>
          <w:p>
            <w:pPr>
              <w:pStyle w:val="para-small-spacing-after"/>
            </w:pPr>
            <w:r>
              <w:rPr>
                <w:rStyle w:val="font-normal-light"/>
              </w:rPr>
              <w:t xml:space="preserve">Dimensions</w:t>
            </w:r>
          </w:p>
        </w:tc>
        <w:tc>
          <w:tcPr>
            <w:tcW w:w="3000" w:type="dxa"/>
          </w:tcPr>
          <w:p>
            <w:pPr>
              <w:pStyle w:val="para-small-spacing-after"/>
            </w:pPr>
            <w:r>
              <w:rPr>
                <w:rStyle w:val="font-normal"/>
              </w:rPr>
              <w:t xml:space="preserve">19 x 162 mm</w:t>
            </w:r>
          </w:p>
        </w:tc>
      </w:tr>
      <w:tr>
        <w:trPr/>
        <w:tc>
          <w:tcPr>
            <w:tcW w:w="3000" w:type="dxa"/>
          </w:tcPr>
          <w:p>
            <w:pPr>
              <w:pStyle w:val="para-small-spacing-after"/>
            </w:pPr>
            <w:r>
              <w:rPr>
                <w:rStyle w:val="font-normal-light"/>
              </w:rPr>
              <w:t xml:space="preserve">Range</w:t>
            </w:r>
          </w:p>
        </w:tc>
        <w:tc>
          <w:tcPr>
            <w:tcW w:w="3000" w:type="dxa"/>
          </w:tcPr>
          <w:p>
            <w:pPr>
              <w:pStyle w:val="para-small-spacing-after"/>
            </w:pPr>
            <w:r>
              <w:rPr>
                <w:rStyle w:val="font-normal"/>
              </w:rPr>
              <w:t xml:space="preserve">0.25 to 4.5 kg/cm2</w:t>
            </w:r>
          </w:p>
        </w:tc>
      </w:tr>
      <w:tr>
        <w:trPr/>
        <w:tc>
          <w:tcPr>
            <w:tcW w:w="3000" w:type="dxa"/>
          </w:tcPr>
          <w:p>
            <w:pPr>
              <w:pStyle w:val="para-small-spacing-after"/>
            </w:pPr>
            <w:r>
              <w:rPr>
                <w:rStyle w:val="font-normal-light"/>
              </w:rPr>
              <w:t xml:space="preserve">Scale divisions</w:t>
            </w:r>
          </w:p>
        </w:tc>
        <w:tc>
          <w:tcPr>
            <w:tcW w:w="3000" w:type="dxa"/>
          </w:tcPr>
          <w:p>
            <w:pPr>
              <w:pStyle w:val="para-small-spacing-after"/>
            </w:pPr>
            <w:r>
              <w:rPr>
                <w:rStyle w:val="font-normal"/>
              </w:rPr>
              <w:t xml:space="preserve">0.25 kg/cm2</w:t>
            </w:r>
          </w:p>
        </w:tc>
      </w:tr>
      <w:tr>
        <w:trPr/>
        <w:tc>
          <w:tcPr>
            <w:tcW w:w="3000" w:type="dxa"/>
          </w:tcPr>
          <w:p>
            <w:pPr>
              <w:pStyle w:val="para-small-spacing-after"/>
            </w:pPr>
            <w:r>
              <w:rPr>
                <w:rStyle w:val="font-normal-light"/>
              </w:rPr>
              <w:t xml:space="preserve">Load piston</w:t>
            </w:r>
          </w:p>
        </w:tc>
        <w:tc>
          <w:tcPr>
            <w:tcW w:w="3000" w:type="dxa"/>
          </w:tcPr>
          <w:p>
            <w:pPr>
              <w:pStyle w:val="para-small-spacing-after"/>
            </w:pPr>
            <w:r>
              <w:rPr>
                <w:rStyle w:val="font-normal"/>
              </w:rPr>
              <w:t xml:space="preserve">6 mm dia, stainless steel</w:t>
            </w:r>
          </w:p>
        </w:tc>
      </w:tr>
      <w:tr>
        <w:trPr/>
        <w:tc>
          <w:tcPr>
            <w:tcW w:w="3000" w:type="dxa"/>
          </w:tcPr>
          <w:p>
            <w:pPr>
              <w:pStyle w:val="para-small-spacing-after"/>
            </w:pPr>
            <w:r>
              <w:rPr>
                <w:rStyle w:val="font-normal-light"/>
              </w:rPr>
              <w:t xml:space="preserve">Carrying case</w:t>
            </w:r>
          </w:p>
        </w:tc>
        <w:tc>
          <w:tcPr>
            <w:tcW w:w="3000" w:type="dxa"/>
          </w:tcPr>
          <w:p>
            <w:pPr>
              <w:pStyle w:val="para-small-spacing-after"/>
            </w:pPr>
            <w:r>
              <w:rPr>
                <w:rStyle w:val="font-normal"/>
              </w:rPr>
              <w:t xml:space="preserve">Canvas, belt-loop style</w:t>
            </w:r>
          </w:p>
        </w:tc>
      </w:tr>
      <w:tr>
        <w:trPr/>
        <w:tc>
          <w:tcPr>
            <w:tcW w:w="3000" w:type="dxa"/>
          </w:tcPr>
          <w:p>
            <w:pPr>
              <w:pStyle w:val="para-small-spacing-after"/>
            </w:pPr>
            <w:r>
              <w:rPr>
                <w:rStyle w:val="font-normal-light"/>
              </w:rPr>
              <w:t xml:space="preserve">Range</w:t>
            </w:r>
          </w:p>
        </w:tc>
        <w:tc>
          <w:tcPr>
            <w:tcW w:w="3000" w:type="dxa"/>
          </w:tcPr>
          <w:p>
            <w:pPr>
              <w:pStyle w:val="para-small-spacing-after"/>
            </w:pPr>
            <w:r>
              <w:rPr>
                <w:rStyle w:val="font-normal"/>
              </w:rPr>
              <w:t xml:space="preserve">0.25 to 4.5 tons/sq. ft. (kg/sq. cm).</w:t>
            </w:r>
          </w:p>
        </w:tc>
      </w:tr>
      <w:tr>
        <w:trPr/>
        <w:tc>
          <w:tcPr>
            <w:tcW w:w="3000" w:type="dxa"/>
          </w:tcPr>
          <w:p>
            <w:pPr>
              <w:pStyle w:val="para-small-spacing-after"/>
            </w:pPr>
            <w:r>
              <w:rPr>
                <w:rStyle w:val="font-normal-light"/>
              </w:rPr>
              <w:t xml:space="preserve">Scale Divisions</w:t>
            </w:r>
          </w:p>
        </w:tc>
        <w:tc>
          <w:tcPr>
            <w:tcW w:w="3000" w:type="dxa"/>
          </w:tcPr>
          <w:p>
            <w:pPr>
              <w:pStyle w:val="para-small-spacing-after"/>
            </w:pPr>
            <w:r>
              <w:rPr>
                <w:rStyle w:val="font-normal"/>
              </w:rPr>
              <w:t xml:space="preserve">0.25 tons/sq. ft. (kg/sq. cm).</w:t>
            </w:r>
          </w:p>
        </w:tc>
      </w:tr>
      <w:tr>
        <w:trPr/>
        <w:tc>
          <w:tcPr>
            <w:tcW w:w="3000" w:type="dxa"/>
          </w:tcPr>
          <w:p>
            <w:pPr>
              <w:pStyle w:val="para-small-spacing-after"/>
            </w:pPr>
            <w:r>
              <w:rPr>
                <w:rStyle w:val="font-normal-light"/>
              </w:rPr>
              <w:t xml:space="preserve">Load Piston</w:t>
            </w:r>
          </w:p>
        </w:tc>
        <w:tc>
          <w:tcPr>
            <w:tcW w:w="3000" w:type="dxa"/>
          </w:tcPr>
          <w:p>
            <w:pPr>
              <w:pStyle w:val="para-small-spacing-after"/>
            </w:pPr>
            <w:r>
              <w:rPr>
                <w:rStyle w:val="font-normal"/>
              </w:rPr>
              <w:t xml:space="preserve">1/4” (6 mm) diam.; stainless steel.</w:t>
            </w:r>
          </w:p>
        </w:tc>
      </w:tr>
      <w:tr>
        <w:trPr/>
        <w:tc>
          <w:tcPr>
            <w:tcW w:w="3000" w:type="dxa"/>
          </w:tcPr>
          <w:p>
            <w:pPr>
              <w:pStyle w:val="para-small-spacing-after"/>
            </w:pPr>
            <w:r>
              <w:rPr>
                <w:rStyle w:val="font-normal-light"/>
              </w:rPr>
              <w:t xml:space="preserve">Carrying Case</w:t>
            </w:r>
          </w:p>
        </w:tc>
        <w:tc>
          <w:tcPr>
            <w:tcW w:w="3000" w:type="dxa"/>
          </w:tcPr>
          <w:p>
            <w:pPr>
              <w:pStyle w:val="para-small-spacing-after"/>
            </w:pPr>
            <w:r>
              <w:rPr>
                <w:rStyle w:val="font-normal"/>
              </w:rPr>
              <w:t xml:space="preserve">Canvas; belt-loop style.</w:t>
            </w:r>
          </w:p>
        </w:tc>
      </w:tr>
      <w:tr>
        <w:trPr/>
        <w:tc>
          <w:tcPr>
            <w:tcW w:w="3000" w:type="dxa"/>
          </w:tcPr>
          <w:p>
            <w:pPr>
              <w:pStyle w:val="para-small-spacing-after"/>
            </w:pPr>
            <w:r>
              <w:rPr>
                <w:rStyle w:val="font-normal-light"/>
              </w:rPr>
              <w:t xml:space="preserve">Dimensions</w:t>
            </w:r>
          </w:p>
        </w:tc>
        <w:tc>
          <w:tcPr>
            <w:tcW w:w="3000" w:type="dxa"/>
          </w:tcPr>
          <w:p>
            <w:pPr>
              <w:pStyle w:val="para-small-spacing-after"/>
            </w:pPr>
            <w:r>
              <w:rPr>
                <w:rStyle w:val="font-normal"/>
              </w:rPr>
              <w:t xml:space="preserve">3/4” diam. x 6-3/8” l. (19 x 162 mm).</w:t>
            </w:r>
          </w:p>
        </w:tc>
      </w:tr>
      <w:tr>
        <w:trPr/>
        <w:tc>
          <w:tcPr>
            <w:tcW w:w="3000" w:type="dxa"/>
          </w:tcPr>
          <w:p>
            <w:pPr>
              <w:pStyle w:val="para-small-spacing-after"/>
            </w:pPr>
            <w:r>
              <w:rPr>
                <w:rStyle w:val="font-normal-light"/>
              </w:rPr>
              <w:t xml:space="preserve">Weight</w:t>
            </w:r>
          </w:p>
        </w:tc>
        <w:tc>
          <w:tcPr>
            <w:tcW w:w="3000" w:type="dxa"/>
          </w:tcPr>
          <w:p>
            <w:pPr>
              <w:pStyle w:val="para-small-spacing-after"/>
            </w:pPr>
            <w:r>
              <w:rPr>
                <w:rStyle w:val="font-normal"/>
              </w:rPr>
              <w:t xml:space="preserve">Net 7 oz. (198 g).</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2016-02-09T16:40:44+00:00</dcterms:created>
  <dcterms:modified xsi:type="dcterms:W3CDTF">2016-02-09T16:40:44+00:00</dcterms:modified>
</cp:coreProperties>
</file>

<file path=docProps/custom.xml><?xml version="1.0" encoding="utf-8"?>
<Properties xmlns="http://schemas.openxmlformats.org/officeDocument/2006/custom-properties" xmlns:vt="http://schemas.openxmlformats.org/officeDocument/2006/docPropsVTypes"/>
</file>