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yle="mso-width-percent:0; mso-height-percent:0; mso-width-relative:margin; mso-height-relative:margin; width:550px; height:2.7033065236819px; margin-top:0px; margin-left:0px;">
            <v:imagedata r:id="rId7" o:title=""/>
          </v:shape>
        </w:pict>
      </w:r>
    </w:p>
    <w:tbl>
      <w:tblGrid>
        <w:gridCol w:w="4000" w:type="dxa"/>
        <w:gridCol w:w="5000" w:type="dxa"/>
      </w:tblGrid>
      <w:tblPr>
        <w:tblW w:w="0" w:type="auto"/>
      </w:tblPr>
      <w:tr>
        <w:trPr/>
        <w:tc>
          <w:tcPr>
            <w:tcW w:w="4000" w:type="dxa"/>
          </w:tcPr>
          <w:p>
            <w:pPr/>
            <w:r>
              <w:pict>
                <v:shape type="#_x0000_t75" style="mso-width-percent:0; mso-height-percent:0; mso-width-relative:margin; mso-height-relative:margin; width:200px; height:222.22222222222px; margin-top:0px; margin-left:0px;">
                  <v:imagedata r:id="rId8" o:title=""/>
                </v:shape>
              </w:pict>
            </w:r>
          </w:p>
        </w:tc>
        <w:tc>
          <w:tcPr>
            <w:tcW w:w="5000" w:type="dxa"/>
          </w:tcPr>
          <w:p>
            <w:pPr>
              <w:pStyle w:val="para-normal"/>
            </w:pPr>
            <w:r>
              <w:rPr>
                <w:rStyle w:val="font-product-name"/>
              </w:rPr>
              <w:t xml:space="preserve">ADR-Auto V2.0 2000 Standard Compression Machine</w:t>
            </w:r>
          </w:p>
          <w:p>
            <w:pPr>
              <w:pStyle w:val="para-small-spacing-after"/>
            </w:pPr>
            <w:r>
              <w:rPr>
                <w:rStyle w:val="font-normal-light"/>
              </w:rPr>
              <w:t xml:space="preserve">Code: </w:t>
            </w:r>
            <w:r>
              <w:rPr>
                <w:rStyle w:val="font-normal-highlight"/>
              </w:rPr>
              <w:t xml:space="preserve">36-4125/01</w:t>
            </w:r>
          </w:p>
          <w:p>
            <w:pPr>
              <w:pStyle w:val="para-normal"/>
            </w:pPr>
            <w:r>
              <w:rPr>
                <w:rStyle w:val="font-normal-light"/>
              </w:rPr>
              <w:t xml:space="preserve">Product Group: </w:t>
            </w:r>
            <w:r>
              <w:rPr>
                <w:rStyle w:val="font-normal-highlight"/>
              </w:rPr>
              <w:t xml:space="preserve">General Purpose Compression Machines</w:t>
            </w:r>
          </w:p>
          <w:p>
            <w:pPr>
              <w:pStyle w:val="para-normal"/>
            </w:pPr>
            <w:r>
              <w:rPr>
                <w:rStyle w:val="font-normal"/>
              </w:rPr>
              <w:t xml:space="preserve">ADR-Auto V2.0 2000 Standard supplied complete with safety gates ready for testing 300 x 150 mm diameter cylinders. When used for cube testing distance pieces of the appropriate size must be ordered separately.</w:t>
            </w:r>
          </w:p>
        </w:tc>
      </w:tr>
    </w:tbl>
    <w:p>
      <w:pPr>
        <w:pStyle w:val="para-small-spacing-after"/>
      </w:pPr>
      <w:pPr>
        <w:rPr>
          <w:rStyle w:val="font-normal"/>
        </w:rPr>
      </w:pPr>
    </w:p>
    <w:p>
      <w:pPr/>
      <w:r>
        <w:pict>
          <v:shape type="#_x0000_t75" style="mso-width-percent:0; mso-height-percent:0; mso-width-relative:margin; mso-height-relative:margin; width:550px; height:2.7033065236819px; margin-top:0px; margin-left:0px;">
            <v:imagedata r:id="rId7" o:title=""/>
          </v:shape>
        </w:pict>
      </w:r>
    </w:p>
    <w:tbl>
      <w:tblGrid>
        <w:gridCol w:w="9000" w:type="dxa"/>
      </w:tblGrid>
      <w:tblPr>
        <w:tblStyle w:val="table-normal"/>
      </w:tblPr>
      <w:tr>
        <w:trPr/>
        <w:tc>
          <w:tcPr>
            <w:tcW w:w="9000" w:type="dxa"/>
          </w:tcPr>
          <w:p>
            <w:pPr>
              <w:pStyle w:val="para-small-spacing-after"/>
            </w:pPr>
            <w:r>
              <w:rPr>
                <w:rStyle w:val="font-subheading"/>
              </w:rPr>
              <w:t xml:space="preserve">Further Information</w:t>
            </w:r>
          </w:p>
        </w:tc>
      </w:tr>
      <w:tr>
        <w:trPr/>
        <w:tc>
          <w:tcPr>
            <w:tcW w:w="9000" w:type="dxa"/>
          </w:tcPr>
          <w:p>
            <w:pPr>
              <w:pStyle w:val="para-small-spacing-after"/>
            </w:pPr>
            <w:r>
              <w:rPr>
                <w:rStyle w:val="font-normal"/>
              </w:rPr>
              <w:t xml:space="preserve">**Not available for sale in the USA** 
Whilst delivering all of the features and reputation of the established ADR-Auto V2.0 range with its 20 year design history, the new and improved user interface provides a high quality platform for testing that will enhance the performance of our compression machines. New, sophisticated electronics further the benefits of a closed-loop operation in testing concrete and cement/ mortar samples, satisfying the requirements of Quality Control Managers, Lab Managers and Technicians alike.
ACCURACY &amp; SAVINGS
The NEW ADR-Auto V2.0 range, with 145mm (5.7") touch screen interface and intuitive menu driven operation reduces the time taken to set up the machine and perform tests, reducing the time to train staff by up to 25%. Most testing errors produce lower strength results. Noncompliant loading rates can generate errors in measured strength. With the latest closed-loop technology used in the ADR-Auto V2.0, the most effective cement ratios can be used with confidence.
TRACEABILITY &amp; DATA QUALITY
The ADR-Auto V2.0 now provides improved data quality and traceability in due diligence cases - it is now possible to display traceability all the way from the machine/user to the accreditation body, increasing your reputation and peace of mind - all test results now come complete with the machine serial number attached. Prove your service quality - the ADR-Auto V2.0 now plots load vs time in real-time, proving full compliance to the testing standard. This data can be stored for later use or for detailed analysis of the concrete production.
USER SAFETY
Full safety gates as standard, total systems diagnostics, ram run-out switches and overload warnings ensure the safety of your employees and the reliability of your machine.</w:t>
            </w:r>
          </w:p>
        </w:tc>
      </w:tr>
    </w:tbl>
    <w:p>
      <w:pPr>
        <w:pStyle w:val="para-small-spacing-after"/>
      </w:pPr>
      <w:pPr>
        <w:rPr>
          <w:rStyle w:val="font-normal"/>
        </w:rPr>
      </w:pPr>
    </w:p>
    <w:p>
      <w:pPr/>
      <w:r>
        <w:pict>
          <v:shape type="#_x0000_t75" style="mso-width-percent:0; mso-height-percent:0; mso-width-relative:margin; mso-height-relative:margin; width:550px; height:2.7033065236819px; margin-top:0px; margin-left:0px;">
            <v:imagedata r:id="rId7" o:title=""/>
          </v:shape>
        </w:pict>
      </w:r>
    </w:p>
    <w:tbl>
      <w:tblGrid>
        <w:gridCol w:w="3000" w:type="dxa"/>
        <w:gridCol w:w="3000" w:type="dxa"/>
      </w:tblGrid>
      <w:tblPr>
        <w:tblStyle w:val="table-normal"/>
      </w:tblPr>
      <w:tr>
        <w:trPr/>
        <w:tc>
          <w:tcPr>
            <w:tcW w:w="9000" w:type="dxa"/>
          </w:tcPr>
          <w:p>
            <w:pPr>
              <w:pStyle w:val="para-small-spacing-after"/>
            </w:pPr>
            <w:r>
              <w:rPr>
                <w:rStyle w:val="font-subheading"/>
              </w:rPr>
              <w:t xml:space="preserve">Specification</w:t>
            </w:r>
          </w:p>
        </w:tc>
      </w:tr>
      <w:tr>
        <w:trPr/>
        <w:tc>
          <w:tcPr>
            <w:tcW w:w="3000" w:type="dxa"/>
          </w:tcPr>
          <w:p>
            <w:pPr>
              <w:pStyle w:val="para-small-spacing-after"/>
            </w:pPr>
            <w:r>
              <w:rPr>
                <w:rStyle w:val="font-normal-light"/>
              </w:rPr>
              <w:t xml:space="preserve">Testing Standards</w:t>
            </w:r>
          </w:p>
        </w:tc>
        <w:tc>
          <w:tcPr>
            <w:tcW w:w="3000" w:type="dxa"/>
          </w:tcPr>
          <w:p>
            <w:pPr>
              <w:pStyle w:val="para-small-spacing-after"/>
            </w:pPr>
            <w:r>
              <w:rPr>
                <w:rStyle w:val="font-normal"/>
              </w:rPr>
              <w:t xml:space="preserve">BS EN ISO 7500-1, ASTM E4</w:t>
            </w:r>
          </w:p>
        </w:tc>
      </w:tr>
      <w:tr>
        <w:trPr/>
        <w:tc>
          <w:tcPr>
            <w:tcW w:w="3000" w:type="dxa"/>
          </w:tcPr>
          <w:p>
            <w:pPr>
              <w:pStyle w:val="para-small-spacing-after"/>
            </w:pPr>
            <w:r>
              <w:rPr>
                <w:rStyle w:val="font-normal-light"/>
              </w:rPr>
              <w:t xml:space="preserve">Capacity</w:t>
            </w:r>
          </w:p>
        </w:tc>
        <w:tc>
          <w:tcPr>
            <w:tcW w:w="3000" w:type="dxa"/>
          </w:tcPr>
          <w:p>
            <w:pPr>
              <w:pStyle w:val="para-small-spacing-after"/>
            </w:pPr>
            <w:r>
              <w:rPr>
                <w:rStyle w:val="font-normal"/>
              </w:rPr>
              <w:t xml:space="preserve">2000 kN</w:t>
            </w:r>
          </w:p>
        </w:tc>
      </w:tr>
      <w:tr>
        <w:trPr/>
        <w:tc>
          <w:tcPr>
            <w:tcW w:w="3000" w:type="dxa"/>
          </w:tcPr>
          <w:p>
            <w:pPr>
              <w:pStyle w:val="para-small-spacing-after"/>
            </w:pPr>
            <w:r>
              <w:rPr>
                <w:rStyle w:val="font-normal-light"/>
              </w:rPr>
              <w:t xml:space="preserve">Cubes (Concrete)</w:t>
            </w:r>
          </w:p>
        </w:tc>
        <w:tc>
          <w:tcPr>
            <w:tcW w:w="3000" w:type="dxa"/>
          </w:tcPr>
          <w:p>
            <w:pPr>
              <w:pStyle w:val="para-small-spacing-after"/>
            </w:pPr>
            <w:r>
              <w:rPr>
                <w:rStyle w:val="font-normal"/>
              </w:rPr>
              <w:t xml:space="preserve">Up to 150 mm</w:t>
            </w:r>
          </w:p>
        </w:tc>
      </w:tr>
      <w:tr>
        <w:trPr/>
        <w:tc>
          <w:tcPr>
            <w:tcW w:w="3000" w:type="dxa"/>
          </w:tcPr>
          <w:p>
            <w:pPr>
              <w:pStyle w:val="para-small-spacing-after"/>
            </w:pPr>
            <w:r>
              <w:rPr>
                <w:rStyle w:val="font-normal-light"/>
              </w:rPr>
              <w:t xml:space="preserve">Cylinders (Concrete)</w:t>
            </w:r>
          </w:p>
        </w:tc>
        <w:tc>
          <w:tcPr>
            <w:tcW w:w="3000" w:type="dxa"/>
          </w:tcPr>
          <w:p>
            <w:pPr>
              <w:pStyle w:val="para-small-spacing-after"/>
            </w:pPr>
            <w:r>
              <w:rPr>
                <w:rStyle w:val="font-normal"/>
              </w:rPr>
              <w:t xml:space="preserve">Up to 160 x 320 mm</w:t>
            </w:r>
          </w:p>
        </w:tc>
      </w:tr>
      <w:tr>
        <w:trPr/>
        <w:tc>
          <w:tcPr>
            <w:tcW w:w="3000" w:type="dxa"/>
          </w:tcPr>
          <w:p>
            <w:pPr>
              <w:pStyle w:val="para-small-spacing-after"/>
            </w:pPr>
            <w:r>
              <w:rPr>
                <w:rStyle w:val="font-normal-light"/>
              </w:rPr>
              <w:t xml:space="preserve">Blocks</w:t>
            </w:r>
          </w:p>
        </w:tc>
        <w:tc>
          <w:tcPr>
            <w:tcW w:w="3000" w:type="dxa"/>
          </w:tcPr>
          <w:p>
            <w:pPr>
              <w:pStyle w:val="para-small-spacing-after"/>
            </w:pPr>
            <w:r>
              <w:rPr>
                <w:rStyle w:val="font-normal"/>
              </w:rPr>
              <w:t xml:space="preserve">n/a</w:t>
            </w:r>
          </w:p>
        </w:tc>
      </w:tr>
      <w:tr>
        <w:trPr/>
        <w:tc>
          <w:tcPr>
            <w:tcW w:w="3000" w:type="dxa"/>
          </w:tcPr>
          <w:p>
            <w:pPr>
              <w:pStyle w:val="para-small-spacing-after"/>
            </w:pPr>
            <w:r>
              <w:rPr>
                <w:rStyle w:val="font-normal-light"/>
              </w:rPr>
              <w:t xml:space="preserve">TFV and ACV</w:t>
            </w:r>
          </w:p>
        </w:tc>
        <w:tc>
          <w:tcPr>
            <w:tcW w:w="3000" w:type="dxa"/>
          </w:tcPr>
          <w:p>
            <w:pPr>
              <w:pStyle w:val="para-small-spacing-after"/>
            </w:pPr>
            <w:r>
              <w:rPr>
                <w:rStyle w:val="font-normal"/>
              </w:rPr>
              <w:t xml:space="preserve">Yes</w:t>
            </w:r>
          </w:p>
        </w:tc>
      </w:tr>
      <w:tr>
        <w:trPr/>
        <w:tc>
          <w:tcPr>
            <w:tcW w:w="3000" w:type="dxa"/>
          </w:tcPr>
          <w:p>
            <w:pPr>
              <w:pStyle w:val="para-small-spacing-after"/>
            </w:pPr>
            <w:r>
              <w:rPr>
                <w:rStyle w:val="font-normal-light"/>
              </w:rPr>
              <w:t xml:space="preserve">Voltage Supply</w:t>
            </w:r>
          </w:p>
        </w:tc>
        <w:tc>
          <w:tcPr>
            <w:tcW w:w="3000" w:type="dxa"/>
          </w:tcPr>
          <w:p>
            <w:pPr>
              <w:pStyle w:val="para-small-spacing-after"/>
            </w:pPr>
            <w:r>
              <w:rPr>
                <w:rStyle w:val="font-normal"/>
              </w:rPr>
              <w:t xml:space="preserve">220-240 V 50 Hz 1 Ph</w:t>
            </w:r>
          </w:p>
        </w:tc>
      </w:tr>
      <w:tr>
        <w:trPr/>
        <w:tc>
          <w:tcPr>
            <w:tcW w:w="3000" w:type="dxa"/>
          </w:tcPr>
          <w:p>
            <w:pPr>
              <w:pStyle w:val="para-small-spacing-after"/>
            </w:pPr>
            <w:r>
              <w:rPr>
                <w:rStyle w:val="font-normal-light"/>
              </w:rPr>
              <w:t xml:space="preserve">Frame Type</w:t>
            </w:r>
          </w:p>
        </w:tc>
        <w:tc>
          <w:tcPr>
            <w:tcW w:w="3000" w:type="dxa"/>
          </w:tcPr>
          <w:p>
            <w:pPr>
              <w:pStyle w:val="para-small-spacing-after"/>
            </w:pPr>
            <w:r>
              <w:rPr>
                <w:rStyle w:val="font-normal"/>
              </w:rPr>
              <w:t xml:space="preserve">Welded</w:t>
            </w:r>
          </w:p>
        </w:tc>
      </w:tr>
      <w:tr>
        <w:trPr/>
        <w:tc>
          <w:tcPr>
            <w:tcW w:w="3000" w:type="dxa"/>
          </w:tcPr>
          <w:p>
            <w:pPr>
              <w:pStyle w:val="para-small-spacing-after"/>
            </w:pPr>
            <w:r>
              <w:rPr>
                <w:rStyle w:val="font-normal-light"/>
              </w:rPr>
              <w:t xml:space="preserve">Max vert. Clearance</w:t>
            </w:r>
          </w:p>
        </w:tc>
        <w:tc>
          <w:tcPr>
            <w:tcW w:w="3000" w:type="dxa"/>
          </w:tcPr>
          <w:p>
            <w:pPr>
              <w:pStyle w:val="para-small-spacing-after"/>
            </w:pPr>
            <w:r>
              <w:rPr>
                <w:rStyle w:val="font-normal"/>
              </w:rPr>
              <w:t xml:space="preserve">340 mm</w:t>
            </w:r>
          </w:p>
        </w:tc>
      </w:tr>
      <w:tr>
        <w:trPr/>
        <w:tc>
          <w:tcPr>
            <w:tcW w:w="3000" w:type="dxa"/>
          </w:tcPr>
          <w:p>
            <w:pPr>
              <w:pStyle w:val="para-small-spacing-after"/>
            </w:pPr>
            <w:r>
              <w:rPr>
                <w:rStyle w:val="font-normal-light"/>
              </w:rPr>
              <w:t xml:space="preserve">Max hor. Clearance</w:t>
            </w:r>
          </w:p>
        </w:tc>
        <w:tc>
          <w:tcPr>
            <w:tcW w:w="3000" w:type="dxa"/>
          </w:tcPr>
          <w:p>
            <w:pPr>
              <w:pStyle w:val="para-small-spacing-after"/>
            </w:pPr>
            <w:r>
              <w:rPr>
                <w:rStyle w:val="font-normal"/>
              </w:rPr>
              <w:t xml:space="preserve">325 mm</w:t>
            </w:r>
          </w:p>
        </w:tc>
      </w:tr>
      <w:tr>
        <w:trPr/>
        <w:tc>
          <w:tcPr>
            <w:tcW w:w="3000" w:type="dxa"/>
          </w:tcPr>
          <w:p>
            <w:pPr>
              <w:pStyle w:val="para-small-spacing-after"/>
            </w:pPr>
            <w:r>
              <w:rPr>
                <w:rStyle w:val="font-normal-light"/>
              </w:rPr>
              <w:t xml:space="preserve">Platen Sizes</w:t>
            </w:r>
          </w:p>
        </w:tc>
        <w:tc>
          <w:tcPr>
            <w:tcW w:w="3000" w:type="dxa"/>
          </w:tcPr>
          <w:p>
            <w:pPr>
              <w:pStyle w:val="para-small-spacing-after"/>
            </w:pPr>
            <w:r>
              <w:rPr>
                <w:rStyle w:val="font-normal"/>
              </w:rPr>
              <w:t xml:space="preserve">Lower , Upper 222 mm</w:t>
            </w:r>
          </w:p>
        </w:tc>
      </w:tr>
      <w:tr>
        <w:trPr/>
        <w:tc>
          <w:tcPr>
            <w:tcW w:w="3000" w:type="dxa"/>
          </w:tcPr>
          <w:p>
            <w:pPr>
              <w:pStyle w:val="para-small-spacing-after"/>
            </w:pPr>
            <w:r>
              <w:rPr>
                <w:rStyle w:val="font-normal-light"/>
              </w:rPr>
              <w:t xml:space="preserve">Max Ram Travel</w:t>
            </w:r>
          </w:p>
        </w:tc>
        <w:tc>
          <w:tcPr>
            <w:tcW w:w="3000" w:type="dxa"/>
          </w:tcPr>
          <w:p>
            <w:pPr>
              <w:pStyle w:val="para-small-spacing-after"/>
            </w:pPr>
            <w:r>
              <w:rPr>
                <w:rStyle w:val="font-normal"/>
              </w:rPr>
              <w:t xml:space="preserve">50 mm</w:t>
            </w:r>
          </w:p>
        </w:tc>
      </w:tr>
    </w:tbl>
    <w:p>
      <w:pPr>
        <w:pStyle w:val="para-small-spacing-after"/>
      </w:pPr>
      <w:pPr>
        <w:rPr>
          <w:rStyle w:val="font-normal"/>
        </w:rPr>
      </w:pPr>
    </w:p>
    <w:p>
      <w:pPr/>
      <w:r>
        <w:pict>
          <v:shape type="#_x0000_t75" style="mso-width-percent:0; mso-height-percent:0; mso-width-relative:margin; mso-height-relative:margin; width:550px; height:2.7033065236819px; margin-top:0px; margin-left:0px;">
            <v:imagedata r:id="rId7" o:title=""/>
          </v:shape>
        </w:pict>
      </w:r>
    </w:p>
    <w:tbl>
      <w:tblGrid>
        <w:gridCol w:w="2000" w:type="dxa"/>
        <w:gridCol w:w="7000" w:type="dxa"/>
      </w:tblGrid>
      <w:tblPr>
        <w:tblStyle w:val="table-normal"/>
      </w:tblPr>
      <w:tr>
        <w:trPr/>
        <w:tc>
          <w:tcPr>
            <w:tcW w:w="9000" w:type="dxa"/>
          </w:tcPr>
          <w:p>
            <w:pPr>
              <w:pStyle w:val="para-normal"/>
            </w:pPr>
            <w:r>
              <w:rPr>
                <w:rStyle w:val="font-related-products"/>
              </w:rPr>
              <w:t xml:space="preserve">Spares/Consumables</w:t>
            </w:r>
          </w:p>
        </w:tc>
      </w:tr>
      <w:tr>
        <w:trPr/>
        <w:tc>
          <w:tcPr>
            <w:tcW w:w="" w:type="dxa"/>
          </w:tcPr>
          <w:p>
            <w:pPr>
              <w:pStyle w:val="para-no-spacing-after"/>
            </w:pPr>
            <w:pPr>
              <w:rPr>
                <w:rStyle w:val="font-normal"/>
              </w:rPr>
            </w:pPr>
          </w:p>
        </w:tc>
      </w:tr>
      <w:tr>
        <w:trPr>
          <w:trHeight w:val="0" w:hRule="atLeast"/>
          <w:cantSplit w:val="1"/>
        </w:trPr>
        <w:tc>
          <w:tcPr>
            <w:tcW w:w="2000" w:type="dxa"/>
          </w:tcPr>
          <w:p>
            <w:pPr/>
            <w:r>
              <w:pict>
                <v:shape type="#_x0000_t75" style="mso-width-percent:0; mso-height-percent:0; mso-width-relative:margin; mso-height-relative:margin; width:100px; height:61px; margin-top:0px; margin-left:0px;">
                  <v:imagedata r:id="rId9" o:title=""/>
                </v:shape>
              </w:pict>
            </w:r>
          </w:p>
        </w:tc>
        <w:tc>
          <w:tcPr>
            <w:tcW w:w="7000" w:type="dxa"/>
          </w:tcPr>
          <w:p>
            <w:pPr>
              <w:pStyle w:val="para-normal"/>
            </w:pPr>
            <w:r>
              <w:rPr>
                <w:rStyle w:val="font-product-name"/>
              </w:rPr>
              <w:t xml:space="preserve">Pressure transducer, 0-700bar, 0.05 to 10v DC Output</w:t>
            </w:r>
          </w:p>
          <w:p>
            <w:pPr>
              <w:pStyle w:val="para-small-spacing-after"/>
            </w:pPr>
            <w:r>
              <w:rPr>
                <w:rStyle w:val="font-normal-light"/>
              </w:rPr>
              <w:t xml:space="preserve">Code: </w:t>
            </w:r>
            <w:r>
              <w:rPr>
                <w:rStyle w:val="font-normal-highlight"/>
              </w:rPr>
              <w:t xml:space="preserve">6014A0062</w:t>
            </w:r>
          </w:p>
        </w:tc>
      </w:tr>
      <w:tr>
        <w:trPr/>
        <w:tc>
          <w:tcPr>
            <w:tcW w:w="" w:type="dxa"/>
          </w:tcPr>
          <w:p>
            <w:pPr>
              <w:pStyle w:val="para-no-spacing-after"/>
            </w:pPr>
            <w:pPr>
              <w:rPr>
                <w:rStyle w:val="font-normal"/>
              </w:rPr>
            </w:pPr>
          </w:p>
        </w:tc>
      </w:tr>
    </w:tbl>
    <w:sectPr>
      <w:headerReference w:type="default" r:id="rId10"/>
      <w:footerReference w:type="default" r:id="rId11"/>
      <w:pgSz w:orient="portrait" w:w="11906" w:h="16838"/>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250" w:type="dxa"/>
      <w:gridCol w:w="2500" w:type="dxa"/>
      <w:gridCol w:w="250" w:type="dxa"/>
      <w:gridCol w:w="2500" w:type="dxa"/>
      <w:gridCol w:w="2000" w:type="dxa"/>
    </w:tblGrid>
    <w:tblPr>
      <w:tblStyle w:val="table-footer"/>
    </w:tblPr>
    <w:tr>
      <w:trPr/>
      <w:tc>
        <w:tcPr>
          <w:tcW w:w="2000" w:type="dxa"/>
        </w:tcPr>
        <w:p>
          <w:pPr>
            <w:pStyle w:val="para-footer-left"/>
          </w:pPr>
          <w:r>
            <w:rPr>
              <w:rStyle w:val="font-footer"/>
            </w:rPr>
            <w:t xml:space="preserve">www.ele.com</w:t>
          </w:r>
        </w:p>
      </w:tc>
      <w:tc>
        <w:tcPr>
          <w:tcW w:w="250" w:type="dxa"/>
        </w:tcPr>
        <w:p>
          <w:pPr>
            <w:jc w:val="right"/>
          </w:pPr>
          <w:r>
            <w:pict>
              <v:shape type="#_x0000_t75" style="mso-width-percent:0; mso-height-percent:0; mso-width-relative:margin; mso-height-relative:margin; width:12px; height:12px; margin-top:0px; margin-left:0px;">
                <v:imagedata r:id="rId1" o:title=""/>
              </v:shape>
            </w:pict>
          </w:r>
        </w:p>
      </w:tc>
      <w:tc>
        <w:tcPr>
          <w:tcW w:w="2500" w:type="dxa"/>
        </w:tcPr>
        <w:p>
          <w:pPr>
            <w:pStyle w:val="para-footer-left"/>
          </w:pPr>
          <w:r>
            <w:rPr>
              <w:rStyle w:val="font-footer"/>
            </w:rPr>
            <w:t xml:space="preserve">+44 (0)1525 249 200</w:t>
          </w:r>
        </w:p>
      </w:tc>
      <w:tc>
        <w:tcPr>
          <w:tcW w:w="250" w:type="dxa"/>
        </w:tcPr>
        <w:p>
          <w:pPr>
            <w:jc w:val="right"/>
          </w:pPr>
          <w:r>
            <w:pict>
              <v:shape type="#_x0000_t75" style="mso-width-percent:0; mso-height-percent:0; mso-width-relative:margin; mso-height-relative:margin; width:12px; height:12px; margin-top:0px; margin-left:0px;">
                <v:imagedata r:id="rId2" o:title=""/>
              </v:shape>
            </w:pict>
          </w:r>
        </w:p>
      </w:tc>
      <w:tc>
        <w:tcPr>
          <w:tcW w:w="2500" w:type="dxa"/>
        </w:tcPr>
        <w:p>
          <w:pPr>
            <w:pStyle w:val="para-footer-left"/>
          </w:pPr>
          <w:r>
            <w:rPr>
              <w:rStyle w:val="font-footer"/>
            </w:rPr>
            <w:t xml:space="preserve">+1 (800) 323 1242</w:t>
          </w:r>
        </w:p>
      </w:tc>
      <w:tc>
        <w:tcPr>
          <w:tcW w:w="2000" w:type="dxa"/>
        </w:tcPr>
        <w:p>
          <w:pPr>
            <w:pStyle w:val="para-footer-right"/>
          </w:pPr>
          <w:r>
            <w:rPr>
              <w:rStyle w:val="font-footer"/>
            </w:rPr>
            <w:t xml:space="preserve">Page </w:t>
          </w:r>
          <w:r>
            <w:fldChar w:fldCharType="begin"/>
          </w:r>
          <w:r>
            <w:rPr>
              <w:rStyle w:val="font-footer"/>
            </w:rPr>
            <w:instrText xml:space="preserve">PAGE</w:instrText>
          </w:r>
          <w:r>
            <w:fldChar w:fldCharType="separate"/>
          </w:r>
          <w:r>
            <w:fldChar w:fldCharType="end"/>
          </w:r>
          <w:r>
            <w:rPr>
              <w:rStyle w:val="font-footer"/>
            </w:rPr>
            <w:t xml:space="preserve"> of </w:t>
          </w:r>
          <w:r>
            <w:fldChar w:fldCharType="begin"/>
          </w:r>
          <w:r>
            <w:rPr>
              <w:rStyle w:val="font-footer"/>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pict>
        <v:shape type="#_x0000_t75" style="mso-width-percent:0; mso-height-percent:0; mso-width-relative:margin; mso-height-relative:margin; width:740px; height:1047.2881355932px; margin-top:0px; margin-left:0px; position:absolute; mso-position-horizontal:left; mso-position-vertical:top; mso-position-horizontal-relative:char; mso-position-vertical-relative:line;">
          <v:imagedata r:id="rId1" o:title=""/>
        </v:shape>
      </w:pict>
    </w:r>
  </w:p>
  <w:tbl>
    <w:tblGrid>
      <w:gridCol w:w="5000" w:type="dxa"/>
      <w:gridCol w:w="3500" w:type="dxa"/>
      <w:gridCol w:w="500" w:type="dxa"/>
    </w:tblGrid>
    <w:tr>
      <w:trPr/>
      <w:tc>
        <w:tcPr>
          <w:tcW w:w="5000" w:type="dxa"/>
        </w:tcPr>
        <w:p>
          <w:pPr/>
          <w:r>
            <w:rPr>
              <w:rStyle w:val="font-header-heading"/>
            </w:rPr>
            <w:t xml:space="preserve">Product Sheet</w:t>
          </w:r>
        </w:p>
      </w:tc>
      <w:tc>
        <w:tcPr>
          <w:tcW w:w="3500" w:type="dxa"/>
        </w:tcPr>
        <w:p>
          <w:pPr>
            <w:pStyle w:val="para-header-text"/>
          </w:pPr>
          <w:r>
            <w:rPr>
              <w:rStyle w:val="font-header-text"/>
            </w:rPr>
            <w:t xml:space="preserve">www.ele.com</w:t>
          </w:r>
        </w:p>
        <w:p>
          <w:pPr>
            <w:pStyle w:val="para-header-text"/>
          </w:pPr>
          <w:r>
            <w:rPr>
              <w:rStyle w:val="font-header-text"/>
            </w:rPr>
            <w:t xml:space="preserve">+44 (0) 01525 249 200</w:t>
          </w:r>
        </w:p>
      </w:tc>
      <w:tc>
        <w:tcPr>
          <w:tcW w:w="500" w:type="dxa"/>
        </w:tcPr>
        <w:p>
          <w:pPr>
            <w:jc w:val="right"/>
          </w:pPr>
          <w:r>
            <w:pict>
              <v:shape type="#_x0000_t75" style="mso-width-percent:0; mso-height-percent:0; mso-width-relative:margin; mso-height-relative:margin; width:25px; height:25px; margin-top:0px; margin-left:0px;">
                <v:imagedata r:id="rId2" o:title=""/>
              </v:shape>
            </w:pic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font-normal"/>
    <w:rPr>
      <w:rStyle w:val="font-normal"/>
      <w:sz w:val="20"/>
      <w:szCs w:val="20"/>
    </w:rPr>
  </w:style>
  <w:style w:type="character">
    <w:name w:val="font-normal-light"/>
    <w:rPr>
      <w:rStyle w:val="font-normal-light"/>
      <w:color w:val="666666"/>
      <w:sz w:val="20"/>
      <w:szCs w:val="20"/>
    </w:rPr>
  </w:style>
  <w:style w:type="character">
    <w:name w:val="font-normal-highlight"/>
    <w:rPr>
      <w:rStyle w:val="font-normal-highlight"/>
      <w:color w:val="149dd9"/>
      <w:sz w:val="20"/>
      <w:szCs w:val="20"/>
    </w:rPr>
  </w:style>
  <w:style w:type="character">
    <w:name w:val="font-header-heading"/>
    <w:rPr>
      <w:rStyle w:val="font-header-heading"/>
      <w:color w:val="149dd9"/>
      <w:sz w:val="36"/>
      <w:szCs w:val="36"/>
      <w:b/>
    </w:rPr>
  </w:style>
  <w:style w:type="character">
    <w:name w:val="font-header-text"/>
    <w:rPr>
      <w:rStyle w:val="font-header-text"/>
      <w:color w:val="149dd9"/>
      <w:sz w:val="16"/>
      <w:szCs w:val="16"/>
    </w:rPr>
  </w:style>
  <w:style w:type="character">
    <w:name w:val="font-footer"/>
    <w:rPr>
      <w:rStyle w:val="font-footer"/>
      <w:color w:val="666666"/>
      <w:sz w:val="16"/>
      <w:szCs w:val="16"/>
    </w:rPr>
  </w:style>
  <w:style w:type="character">
    <w:name w:val="font-product-name"/>
    <w:rPr>
      <w:rStyle w:val="font-product-name"/>
      <w:color w:val="1d508a"/>
      <w:sz w:val="24"/>
      <w:szCs w:val="24"/>
      <w:b/>
    </w:rPr>
  </w:style>
  <w:style w:type="character">
    <w:name w:val="font-subheading"/>
    <w:rPr>
      <w:rStyle w:val="font-subheading"/>
      <w:color w:val="1d508a"/>
      <w:sz w:val="24"/>
      <w:szCs w:val="24"/>
    </w:rPr>
  </w:style>
  <w:style w:type="character">
    <w:name w:val="font-related-products"/>
    <w:rPr>
      <w:rStyle w:val="font-related-products"/>
      <w:color w:val="1d508a"/>
      <w:sz w:val="24"/>
      <w:szCs w:val="24"/>
      <w:b/>
    </w:rPr>
  </w:style>
  <w:style w:type="character">
    <w:name w:val="font-table-colhead"/>
    <w:rPr>
      <w:rStyle w:val="font-table-colhead"/>
      <w:color w:val="1d508a"/>
      <w:sz w:val="20"/>
      <w:szCs w:val="20"/>
      <w:b/>
    </w:rPr>
  </w:style>
  <w:style w:type="character">
    <w:name w:val="font-toc"/>
    <w:rPr>
      <w:rStyle w:val="font-toc"/>
      <w:color w:val="1d508a"/>
      <w:sz w:val="36"/>
      <w:szCs w:val="36"/>
    </w:rPr>
  </w:style>
  <w:style w:type="character">
    <w:name w:val="font-hidden-toc"/>
    <w:rPr>
      <w:rStyle w:val="font-hidden-toc"/>
      <w:color w:val="ffffff"/>
      <w:sz w:val="2"/>
      <w:szCs w:val="2"/>
    </w:rPr>
  </w:style>
  <w:style w:type="paragraph" w:customStyle="1" w:styleId="para-normal">
    <w:name w:val="para-normal"/>
    <w:basedOn w:val="Normal"/>
    <w:pPr>
      <w:pStyle w:val="para-normal"/>
      <w:jc w:val="left"/>
      <w:spacing w:after="120"/>
    </w:pPr>
  </w:style>
  <w:style w:type="paragraph" w:customStyle="1" w:styleId="para-small-spacing-after">
    <w:name w:val="para-small-spacing-after"/>
    <w:basedOn w:val="Normal"/>
    <w:pPr>
      <w:pStyle w:val="para-small-spacing-after"/>
      <w:spacing w:after="40"/>
    </w:pPr>
  </w:style>
  <w:style w:type="paragraph" w:customStyle="1" w:styleId="para-tiny-spacing-after">
    <w:name w:val="para-tiny-spacing-after"/>
    <w:basedOn w:val="Normal"/>
    <w:pPr>
      <w:pStyle w:val="para-tiny-spacing-after"/>
      <w:spacing w:after="20"/>
    </w:pPr>
  </w:style>
  <w:style w:type="paragraph" w:customStyle="1" w:styleId="para-no-spacing-after">
    <w:name w:val="para-no-spacing-after"/>
    <w:basedOn w:val="Normal"/>
    <w:pPr>
      <w:pStyle w:val="para-no-spacing-after"/>
      <w:spacing w:after="0"/>
    </w:pPr>
  </w:style>
  <w:style w:type="paragraph" w:customStyle="1" w:styleId="para-header-text">
    <w:name w:val="para-header-text"/>
    <w:basedOn w:val="Normal"/>
    <w:pPr>
      <w:pStyle w:val="para-header-text"/>
      <w:jc w:val="right"/>
      <w:spacing w:after="40"/>
    </w:pPr>
  </w:style>
  <w:style w:type="paragraph" w:customStyle="1" w:styleId="para-footer-left">
    <w:name w:val="para-footer-left"/>
    <w:basedOn w:val="Normal"/>
    <w:pPr>
      <w:pStyle w:val="para-footer-left"/>
      <w:jc w:val="left"/>
      <w:spacing w:after="0"/>
    </w:pPr>
  </w:style>
  <w:style w:type="paragraph" w:customStyle="1" w:styleId="para-footer-right">
    <w:name w:val="para-footer-right"/>
    <w:basedOn w:val="Normal"/>
    <w:pPr>
      <w:pStyle w:val="para-footer-right"/>
      <w:jc w:val="right"/>
      <w:spacing w:after="0"/>
    </w:pPr>
  </w:style>
  <w:style w:type="paragraph" w:customStyle="1" w:styleId="para-hidden-toc">
    <w:name w:val="para-hidden-toc"/>
    <w:basedOn w:val="Normal"/>
    <w:pPr>
      <w:pStyle w:val="para-hidden-toc"/>
      <w:spacing w:after="0" w:line="480" w:lineRule="auto"/>
    </w:pPr>
  </w:style>
  <w:style w:type="table" w:customStyle="1" w:styleId="table-normal">
    <w:name w:val="table-normal"/>
    <w:uiPriority w:val="99"/>
    <w:tblPr>
      <w:tblW w:w="0" w:type="auto"/>
      <w:tblCellMar>
        <w:top w:w="80" w:type="dxa"/>
        <w:left w:w="80" w:type="dxa"/>
        <w:right w:w="80" w:type="dxa"/>
      </w:tblCellMar>
    </w:tblPr>
    <w:tblStylePr w:type="firstRow">
      <w:tcPr/>
    </w:tblStylePr>
  </w:style>
  <w:style w:type="table" w:customStyle="1" w:styleId="table-footer">
    <w:name w:val="table-footer"/>
    <w:uiPriority w:val="99"/>
    <w:tblPr>
      <w:tblW w:w="0" w:type="auto"/>
    </w:tblPr>
    <w:tblStylePr w:type="firstRow">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image" Target="media/footer1_image2.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2016-02-09T16:43:47+00:00</dcterms:created>
  <dcterms:modified xsi:type="dcterms:W3CDTF">2016-02-09T16:43:47+00:00</dcterms:modified>
</cp:coreProperties>
</file>

<file path=docProps/custom.xml><?xml version="1.0" encoding="utf-8"?>
<Properties xmlns="http://schemas.openxmlformats.org/officeDocument/2006/custom-properties" xmlns:vt="http://schemas.openxmlformats.org/officeDocument/2006/docPropsVTypes"/>
</file>