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pict>
          <v:shape type="#_x0000_t75" style="mso-width-percent:0; mso-height-percent:0; mso-width-relative:margin; mso-height-relative:margin; width:550px; height:2.7033065236819px; margin-top:0px; margin-left:0px;">
            <v:imagedata r:id="rId7" o:title=""/>
          </v:shape>
        </w:pict>
      </w:r>
    </w:p>
    <w:tbl>
      <w:tblGrid>
        <w:gridCol w:w="4000" w:type="dxa"/>
        <w:gridCol w:w="5000" w:type="dxa"/>
      </w:tblGrid>
      <w:tblPr>
        <w:tblW w:w="0" w:type="auto"/>
      </w:tblPr>
      <w:tr>
        <w:trPr/>
        <w:tc>
          <w:tcPr>
            <w:tcW w:w="4000" w:type="dxa"/>
          </w:tcPr>
          <w:p>
            <w:pPr/>
            <w:r>
              <w:pict>
                <v:shape type="#_x0000_t75" style="mso-width-percent:0; mso-height-percent:0; mso-width-relative:margin; mso-height-relative:margin; width:200px; height:200px; margin-top:0px; margin-left:0px;">
                  <v:imagedata r:id="rId8" o:title=""/>
                </v:shape>
              </w:pict>
            </w:r>
          </w:p>
        </w:tc>
        <w:tc>
          <w:tcPr>
            <w:tcW w:w="5000" w:type="dxa"/>
          </w:tcPr>
          <w:p>
            <w:pPr>
              <w:pStyle w:val="para-normal"/>
            </w:pPr>
            <w:r>
              <w:rPr>
                <w:rStyle w:val="font-product-name"/>
              </w:rPr>
              <w:t xml:space="preserve">Precision Seed Counter with Container for Cereals 220-240V 50Hz 1Ph</w:t>
            </w:r>
          </w:p>
          <w:p>
            <w:pPr>
              <w:pStyle w:val="para-small-spacing-after"/>
            </w:pPr>
            <w:r>
              <w:rPr>
                <w:rStyle w:val="font-normal-light"/>
              </w:rPr>
              <w:t xml:space="preserve">Code: </w:t>
            </w:r>
            <w:r>
              <w:rPr>
                <w:rStyle w:val="font-normal-highlight"/>
              </w:rPr>
              <w:t xml:space="preserve">560-105/01</w:t>
            </w:r>
          </w:p>
          <w:p>
            <w:pPr>
              <w:pStyle w:val="para-normal"/>
            </w:pPr>
            <w:r>
              <w:rPr>
                <w:rStyle w:val="font-normal-light"/>
              </w:rPr>
              <w:t xml:space="preserve">Product Group: </w:t>
            </w:r>
            <w:r>
              <w:rPr>
                <w:rStyle w:val="font-normal-highlight"/>
              </w:rPr>
              <w:t xml:space="preserve">Seed counters</w:t>
            </w:r>
          </w:p>
          <w:p>
            <w:pPr>
              <w:pStyle w:val="para-normal"/>
            </w:pPr>
            <w:r>
              <w:rPr>
                <w:rStyle w:val="font-normal"/>
              </w:rPr>
              <w:t xml:space="preserve">• Automatic feed rate selection.
• Very accurate results with small seeds.
• Filter for undersized or damaged seeds.
The precision seed counter is invaluable for laboratory work, research applications, 1000 grain counting and packaging of costly seeds. A special feature of the instrument is the very wide range of seed sizes which can be processed from 0.3 to 15 mm in diameter. The built-in vibrating unit automatically determines the optimum seed counting rate, although this can be set manually if required. The seed size can also be selected so that the damaged seeds or fragments of husk are eliminated from the result.
Various count modes can be selected including normal, aggregate and differential. The unit is extremely quiet in operation, has an easy to read LCD display, RS232 output and a membrane key pad.</w:t>
            </w:r>
          </w:p>
        </w:tc>
      </w:tr>
    </w:tbl>
    <w:p>
      <w:pPr>
        <w:pStyle w:val="para-small-spacing-after"/>
      </w:pPr>
      <w:pPr>
        <w:rPr>
          <w:rStyle w:val="font-normal"/>
        </w:rPr>
      </w:pPr>
    </w:p>
    <w:p>
      <w:pPr/>
      <w:r>
        <w:pict>
          <v:shape type="#_x0000_t75" style="mso-width-percent:0; mso-height-percent:0; mso-width-relative:margin; mso-height-relative:margin; width:550px; height:2.7033065236819px; margin-top:0px; margin-left:0px;">
            <v:imagedata r:id="rId7" o:title=""/>
          </v:shape>
        </w:pict>
      </w:r>
    </w:p>
    <w:tbl>
      <w:tblGrid>
        <w:gridCol w:w="9000" w:type="dxa"/>
      </w:tblGrid>
      <w:tblPr>
        <w:tblStyle w:val="table-normal"/>
      </w:tblPr>
      <w:tr>
        <w:trPr/>
        <w:tc>
          <w:tcPr>
            <w:tcW w:w="9000" w:type="dxa"/>
          </w:tcPr>
          <w:p>
            <w:pPr>
              <w:pStyle w:val="para-small-spacing-after"/>
            </w:pPr>
            <w:r>
              <w:rPr>
                <w:rStyle w:val="font-subheading"/>
              </w:rPr>
              <w:t xml:space="preserve">Further Information</w:t>
            </w:r>
          </w:p>
        </w:tc>
      </w:tr>
      <w:tr>
        <w:trPr/>
        <w:tc>
          <w:tcPr>
            <w:tcW w:w="9000" w:type="dxa"/>
          </w:tcPr>
          <w:p>
            <w:pPr>
              <w:pStyle w:val="para-small-spacing-after"/>
            </w:pPr>
            <w:r>
              <w:rPr>
                <w:rStyle w:val="font-normal"/>
              </w:rPr>
              <w:t xml:space="preserve">Supplied with counting head for cereals and grains.</w:t>
            </w:r>
          </w:p>
        </w:tc>
      </w:tr>
    </w:tbl>
    <w:p>
      <w:pPr>
        <w:pStyle w:val="para-small-spacing-after"/>
      </w:pPr>
      <w:pPr>
        <w:rPr>
          <w:rStyle w:val="font-normal"/>
        </w:rPr>
      </w:pPr>
    </w:p>
    <w:sectPr>
      <w:headerReference w:type="default" r:id="rId9"/>
      <w:footerReference w:type="default" r:id="rId10"/>
      <w:pgSz w:orient="portrait" w:w="11906" w:h="16838"/>
      <w:pgMar w:top="1440" w:right="1440" w:bottom="1440" w:left="144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Grid>
      <w:gridCol w:w="2000" w:type="dxa"/>
      <w:gridCol w:w="250" w:type="dxa"/>
      <w:gridCol w:w="2500" w:type="dxa"/>
      <w:gridCol w:w="250" w:type="dxa"/>
      <w:gridCol w:w="2500" w:type="dxa"/>
      <w:gridCol w:w="2000" w:type="dxa"/>
    </w:tblGrid>
    <w:tblPr>
      <w:tblStyle w:val="table-footer"/>
    </w:tblPr>
    <w:tr>
      <w:trPr/>
      <w:tc>
        <w:tcPr>
          <w:tcW w:w="2000" w:type="dxa"/>
        </w:tcPr>
        <w:p>
          <w:pPr>
            <w:pStyle w:val="para-footer-left"/>
          </w:pPr>
          <w:r>
            <w:rPr>
              <w:rStyle w:val="font-footer"/>
            </w:rPr>
            <w:t xml:space="preserve">www.ele.com</w:t>
          </w:r>
        </w:p>
      </w:tc>
      <w:tc>
        <w:tcPr>
          <w:tcW w:w="250" w:type="dxa"/>
        </w:tcPr>
        <w:p>
          <w:pPr>
            <w:jc w:val="right"/>
          </w:pPr>
          <w:r>
            <w:pict>
              <v:shape type="#_x0000_t75" style="mso-width-percent:0; mso-height-percent:0; mso-width-relative:margin; mso-height-relative:margin; width:12px; height:12px; margin-top:0px; margin-left:0px;">
                <v:imagedata r:id="rId1" o:title=""/>
              </v:shape>
            </w:pict>
          </w:r>
        </w:p>
      </w:tc>
      <w:tc>
        <w:tcPr>
          <w:tcW w:w="2500" w:type="dxa"/>
        </w:tcPr>
        <w:p>
          <w:pPr>
            <w:pStyle w:val="para-footer-left"/>
          </w:pPr>
          <w:r>
            <w:rPr>
              <w:rStyle w:val="font-footer"/>
            </w:rPr>
            <w:t xml:space="preserve">+44 (0)1525 249 200</w:t>
          </w:r>
        </w:p>
      </w:tc>
      <w:tc>
        <w:tcPr>
          <w:tcW w:w="250" w:type="dxa"/>
        </w:tcPr>
        <w:p>
          <w:pPr>
            <w:jc w:val="right"/>
          </w:pPr>
          <w:r>
            <w:pict>
              <v:shape type="#_x0000_t75" style="mso-width-percent:0; mso-height-percent:0; mso-width-relative:margin; mso-height-relative:margin; width:12px; height:12px; margin-top:0px; margin-left:0px;">
                <v:imagedata r:id="rId2" o:title=""/>
              </v:shape>
            </w:pict>
          </w:r>
        </w:p>
      </w:tc>
      <w:tc>
        <w:tcPr>
          <w:tcW w:w="2500" w:type="dxa"/>
        </w:tcPr>
        <w:p>
          <w:pPr>
            <w:pStyle w:val="para-footer-left"/>
          </w:pPr>
          <w:r>
            <w:rPr>
              <w:rStyle w:val="font-footer"/>
            </w:rPr>
            <w:t xml:space="preserve">+1 (800) 323 1242</w:t>
          </w:r>
        </w:p>
      </w:tc>
      <w:tc>
        <w:tcPr>
          <w:tcW w:w="2000" w:type="dxa"/>
        </w:tcPr>
        <w:p>
          <w:pPr>
            <w:pStyle w:val="para-footer-right"/>
          </w:pPr>
          <w:r>
            <w:rPr>
              <w:rStyle w:val="font-footer"/>
            </w:rPr>
            <w:t xml:space="preserve">Page </w:t>
          </w:r>
          <w:r>
            <w:fldChar w:fldCharType="begin"/>
          </w:r>
          <w:r>
            <w:rPr>
              <w:rStyle w:val="font-footer"/>
            </w:rPr>
            <w:instrText xml:space="preserve">PAGE</w:instrText>
          </w:r>
          <w:r>
            <w:fldChar w:fldCharType="separate"/>
          </w:r>
          <w:r>
            <w:fldChar w:fldCharType="end"/>
          </w:r>
          <w:r>
            <w:rPr>
              <w:rStyle w:val="font-footer"/>
            </w:rPr>
            <w:t xml:space="preserve"> of </w:t>
          </w:r>
          <w:r>
            <w:fldChar w:fldCharType="begin"/>
          </w:r>
          <w:r>
            <w:rPr>
              <w:rStyle w:val="font-footer"/>
            </w:rPr>
            <w:instrText xml:space="preserve">NUMPAGES</w:instrText>
          </w:r>
          <w:r>
            <w:fldChar w:fldCharType="separate"/>
          </w:r>
          <w:r>
            <w:fldChar w:fldCharType="end"/>
          </w:r>
        </w:p>
      </w:tc>
    </w:tr>
  </w:tbl>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pict>
        <v:shape type="#_x0000_t75" style="mso-width-percent:0; mso-height-percent:0; mso-width-relative:margin; mso-height-relative:margin; width:740px; height:1047.2881355932px; margin-top:0px; margin-left:0px; position:absolute; mso-position-horizontal:left; mso-position-vertical:top; mso-position-horizontal-relative:char; mso-position-vertical-relative:line;">
          <v:imagedata r:id="rId1" o:title=""/>
        </v:shape>
      </w:pict>
    </w:r>
  </w:p>
  <w:tbl>
    <w:tblGrid>
      <w:gridCol w:w="5000" w:type="dxa"/>
      <w:gridCol w:w="3500" w:type="dxa"/>
      <w:gridCol w:w="500" w:type="dxa"/>
    </w:tblGrid>
    <w:tr>
      <w:trPr/>
      <w:tc>
        <w:tcPr>
          <w:tcW w:w="5000" w:type="dxa"/>
        </w:tcPr>
        <w:p>
          <w:pPr/>
          <w:r>
            <w:rPr>
              <w:rStyle w:val="font-header-heading"/>
            </w:rPr>
            <w:t xml:space="preserve">Product Sheet</w:t>
          </w:r>
        </w:p>
      </w:tc>
      <w:tc>
        <w:tcPr>
          <w:tcW w:w="3500" w:type="dxa"/>
        </w:tcPr>
        <w:p>
          <w:pPr>
            <w:pStyle w:val="para-header-text"/>
          </w:pPr>
          <w:r>
            <w:rPr>
              <w:rStyle w:val="font-header-text"/>
            </w:rPr>
            <w:t xml:space="preserve">www.ele.com</w:t>
          </w:r>
        </w:p>
        <w:p>
          <w:pPr>
            <w:pStyle w:val="para-header-text"/>
          </w:pPr>
          <w:r>
            <w:rPr>
              <w:rStyle w:val="font-header-text"/>
            </w:rPr>
            <w:t xml:space="preserve">+44 (0) 01525 249 200</w:t>
          </w:r>
        </w:p>
      </w:tc>
      <w:tc>
        <w:tcPr>
          <w:tcW w:w="500" w:type="dxa"/>
        </w:tcPr>
        <w:p>
          <w:pPr>
            <w:jc w:val="right"/>
          </w:pPr>
          <w:r>
            <w:pict>
              <v:shape type="#_x0000_t75" style="mso-width-percent:0; mso-height-percent:0; mso-width-relative:margin; mso-height-relative:margin; width:25px; height:25px; margin-top:0px; margin-left:0px;">
                <v:imagedata r:id="rId2" o:title=""/>
              </v:shape>
            </w:pict>
          </w:r>
        </w:p>
      </w:tc>
    </w:tr>
  </w:tbl>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embedSystemFonts/>
  <w:defaultTabStop w:val="708"/>
  <w:hyphenationZone w:val="425"/>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m:mathPr>
    <m:mathFont m:val="Cambria Math"/>
    <m:brkBin m:val="before"/>
    <m:brkBinSub m:val="--"/>
    <m:smallFrac m:val="off"/>
    <m:dispDef/>
    <m:lMargin m:val="0"/>
    <m:rMargin m:val="0"/>
    <m:defJc m:val="centerGroup"/>
    <m:wrapIndent m:val="1440"/>
    <m:intLim m:val="subSup"/>
    <m:naryLim m:val="undOvr"/>
  </m:mathPr>
  <w:uiCompat97To2003/>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font-normal"/>
    <w:rPr>
      <w:rStyle w:val="font-normal"/>
      <w:sz w:val="20"/>
      <w:szCs w:val="20"/>
    </w:rPr>
  </w:style>
  <w:style w:type="character">
    <w:name w:val="font-normal-light"/>
    <w:rPr>
      <w:rStyle w:val="font-normal-light"/>
      <w:color w:val="666666"/>
      <w:sz w:val="20"/>
      <w:szCs w:val="20"/>
    </w:rPr>
  </w:style>
  <w:style w:type="character">
    <w:name w:val="font-normal-highlight"/>
    <w:rPr>
      <w:rStyle w:val="font-normal-highlight"/>
      <w:color w:val="149dd9"/>
      <w:sz w:val="20"/>
      <w:szCs w:val="20"/>
    </w:rPr>
  </w:style>
  <w:style w:type="character">
    <w:name w:val="font-header-heading"/>
    <w:rPr>
      <w:rStyle w:val="font-header-heading"/>
      <w:color w:val="149dd9"/>
      <w:sz w:val="36"/>
      <w:szCs w:val="36"/>
      <w:b/>
    </w:rPr>
  </w:style>
  <w:style w:type="character">
    <w:name w:val="font-header-text"/>
    <w:rPr>
      <w:rStyle w:val="font-header-text"/>
      <w:color w:val="149dd9"/>
      <w:sz w:val="16"/>
      <w:szCs w:val="16"/>
    </w:rPr>
  </w:style>
  <w:style w:type="character">
    <w:name w:val="font-footer"/>
    <w:rPr>
      <w:rStyle w:val="font-footer"/>
      <w:color w:val="666666"/>
      <w:sz w:val="16"/>
      <w:szCs w:val="16"/>
    </w:rPr>
  </w:style>
  <w:style w:type="character">
    <w:name w:val="font-product-name"/>
    <w:rPr>
      <w:rStyle w:val="font-product-name"/>
      <w:color w:val="1d508a"/>
      <w:sz w:val="24"/>
      <w:szCs w:val="24"/>
      <w:b/>
    </w:rPr>
  </w:style>
  <w:style w:type="character">
    <w:name w:val="font-subheading"/>
    <w:rPr>
      <w:rStyle w:val="font-subheading"/>
      <w:color w:val="1d508a"/>
      <w:sz w:val="24"/>
      <w:szCs w:val="24"/>
    </w:rPr>
  </w:style>
  <w:style w:type="character">
    <w:name w:val="font-related-products"/>
    <w:rPr>
      <w:rStyle w:val="font-related-products"/>
      <w:color w:val="1d508a"/>
      <w:sz w:val="24"/>
      <w:szCs w:val="24"/>
      <w:b/>
    </w:rPr>
  </w:style>
  <w:style w:type="character">
    <w:name w:val="font-table-colhead"/>
    <w:rPr>
      <w:rStyle w:val="font-table-colhead"/>
      <w:color w:val="1d508a"/>
      <w:sz w:val="20"/>
      <w:szCs w:val="20"/>
      <w:b/>
    </w:rPr>
  </w:style>
  <w:style w:type="character">
    <w:name w:val="font-toc"/>
    <w:rPr>
      <w:rStyle w:val="font-toc"/>
      <w:color w:val="1d508a"/>
      <w:sz w:val="36"/>
      <w:szCs w:val="36"/>
    </w:rPr>
  </w:style>
  <w:style w:type="character">
    <w:name w:val="font-hidden-toc"/>
    <w:rPr>
      <w:rStyle w:val="font-hidden-toc"/>
      <w:color w:val="ffffff"/>
      <w:sz w:val="2"/>
      <w:szCs w:val="2"/>
    </w:rPr>
  </w:style>
  <w:style w:type="paragraph" w:customStyle="1" w:styleId="para-normal">
    <w:name w:val="para-normal"/>
    <w:basedOn w:val="Normal"/>
    <w:pPr>
      <w:pStyle w:val="para-normal"/>
      <w:jc w:val="left"/>
      <w:spacing w:after="120"/>
    </w:pPr>
  </w:style>
  <w:style w:type="paragraph" w:customStyle="1" w:styleId="para-small-spacing-after">
    <w:name w:val="para-small-spacing-after"/>
    <w:basedOn w:val="Normal"/>
    <w:pPr>
      <w:pStyle w:val="para-small-spacing-after"/>
      <w:spacing w:after="40"/>
    </w:pPr>
  </w:style>
  <w:style w:type="paragraph" w:customStyle="1" w:styleId="para-tiny-spacing-after">
    <w:name w:val="para-tiny-spacing-after"/>
    <w:basedOn w:val="Normal"/>
    <w:pPr>
      <w:pStyle w:val="para-tiny-spacing-after"/>
      <w:spacing w:after="20"/>
    </w:pPr>
  </w:style>
  <w:style w:type="paragraph" w:customStyle="1" w:styleId="para-no-spacing-after">
    <w:name w:val="para-no-spacing-after"/>
    <w:basedOn w:val="Normal"/>
    <w:pPr>
      <w:pStyle w:val="para-no-spacing-after"/>
      <w:spacing w:after="0"/>
    </w:pPr>
  </w:style>
  <w:style w:type="paragraph" w:customStyle="1" w:styleId="para-header-text">
    <w:name w:val="para-header-text"/>
    <w:basedOn w:val="Normal"/>
    <w:pPr>
      <w:pStyle w:val="para-header-text"/>
      <w:jc w:val="right"/>
      <w:spacing w:after="40"/>
    </w:pPr>
  </w:style>
  <w:style w:type="paragraph" w:customStyle="1" w:styleId="para-footer-left">
    <w:name w:val="para-footer-left"/>
    <w:basedOn w:val="Normal"/>
    <w:pPr>
      <w:pStyle w:val="para-footer-left"/>
      <w:jc w:val="left"/>
      <w:spacing w:after="0"/>
    </w:pPr>
  </w:style>
  <w:style w:type="paragraph" w:customStyle="1" w:styleId="para-footer-right">
    <w:name w:val="para-footer-right"/>
    <w:basedOn w:val="Normal"/>
    <w:pPr>
      <w:pStyle w:val="para-footer-right"/>
      <w:jc w:val="right"/>
      <w:spacing w:after="0"/>
    </w:pPr>
  </w:style>
  <w:style w:type="paragraph" w:customStyle="1" w:styleId="para-hidden-toc">
    <w:name w:val="para-hidden-toc"/>
    <w:basedOn w:val="Normal"/>
    <w:pPr>
      <w:pStyle w:val="para-hidden-toc"/>
      <w:spacing w:after="0" w:line="480" w:lineRule="auto"/>
    </w:pPr>
  </w:style>
  <w:style w:type="table" w:customStyle="1" w:styleId="table-normal">
    <w:name w:val="table-normal"/>
    <w:uiPriority w:val="99"/>
    <w:tblPr>
      <w:tblW w:w="0" w:type="auto"/>
      <w:tblCellMar>
        <w:top w:w="80" w:type="dxa"/>
        <w:left w:w="80" w:type="dxa"/>
        <w:right w:w="80" w:type="dxa"/>
      </w:tblCellMar>
    </w:tblPr>
    <w:tblStylePr w:type="firstRow">
      <w:tcPr/>
    </w:tblStylePr>
  </w:style>
  <w:style w:type="table" w:customStyle="1" w:styleId="table-footer">
    <w:name w:val="table-footer"/>
    <w:uiPriority w:val="99"/>
    <w:tblPr>
      <w:tblW w:w="0" w:type="auto"/>
    </w:tblPr>
    <w:tblStylePr w:type="firstRow">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 Id="rId2" Type="http://schemas.openxmlformats.org/officeDocument/2006/relationships/image" Target="media/footer1_image2.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 Id="rId2" Type="http://schemas.openxmlformats.org/officeDocument/2006/relationships/image" Target="media/header1_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2016-02-09T16:51:48+00:00</dcterms:created>
  <dcterms:modified xsi:type="dcterms:W3CDTF">2016-02-09T16:51:48+00:00</dcterms:modified>
</cp:coreProperties>
</file>

<file path=docProps/custom.xml><?xml version="1.0" encoding="utf-8"?>
<Properties xmlns="http://schemas.openxmlformats.org/officeDocument/2006/custom-properties" xmlns:vt="http://schemas.openxmlformats.org/officeDocument/2006/docPropsVTypes"/>
</file>