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347.82608695652px; margin-top:0px; margin-left:0px;">
                  <v:imagedata r:id="rId8" o:title=""/>
                </v:shape>
              </w:pict>
            </w:r>
          </w:p>
        </w:tc>
        <w:tc>
          <w:tcPr>
            <w:tcW w:w="5000" w:type="dxa"/>
          </w:tcPr>
          <w:p>
            <w:pPr>
              <w:pStyle w:val="para-normal"/>
            </w:pPr>
            <w:r>
              <w:rPr>
                <w:rStyle w:val="font-product-name"/>
              </w:rPr>
              <w:t xml:space="preserve">Volume Change Transducer Assembly 80Cm3 Capacity Maximum Working Pressure 1700Kpa</w:t>
            </w:r>
          </w:p>
          <w:p>
            <w:pPr>
              <w:pStyle w:val="para-small-spacing-after"/>
            </w:pPr>
            <w:r>
              <w:rPr>
                <w:rStyle w:val="font-normal-light"/>
              </w:rPr>
              <w:t xml:space="preserve">Code: </w:t>
            </w:r>
            <w:r>
              <w:rPr>
                <w:rStyle w:val="font-normal-highlight"/>
              </w:rPr>
              <w:t xml:space="preserve">27-1641</w:t>
            </w:r>
          </w:p>
          <w:p>
            <w:pPr>
              <w:pStyle w:val="para-normal"/>
            </w:pPr>
            <w:r>
              <w:rPr>
                <w:rStyle w:val="font-normal-light"/>
              </w:rPr>
              <w:t xml:space="preserve">Product Group: </w:t>
            </w:r>
            <w:r>
              <w:rPr>
                <w:rStyle w:val="font-normal-highlight"/>
              </w:rPr>
              <w:t xml:space="preserve">Volume Change Measurement, Volume Change Measurement, Volume Change Transducer, Tri-Flex 2 One-Cell Permeability Test System</w:t>
            </w:r>
          </w:p>
          <w:p>
            <w:pPr>
              <w:pStyle w:val="para-normal"/>
            </w:pPr>
            <w:r>
              <w:rPr>
                <w:rStyle w:val="font-normal"/>
              </w:rPr>
              <w:t xml:space="preserve">•Reversing valves to increase capacity
•Steel case for wall mounting and access to piping
•Supplied complete with calibration certificate
The Volume Change Transducer provides continuous measurements of volume change during the triaxial test. The assembly includes a valve to reverse the flow through the unit, providing increased capacity.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Overall dimensions (l x w x h)</w:t>
            </w:r>
          </w:p>
        </w:tc>
        <w:tc>
          <w:tcPr>
            <w:tcW w:w="3000" w:type="dxa"/>
          </w:tcPr>
          <w:p>
            <w:pPr>
              <w:pStyle w:val="para-small-spacing-after"/>
            </w:pPr>
            <w:r>
              <w:rPr>
                <w:rStyle w:val="font-normal"/>
              </w:rPr>
              <w:t xml:space="preserve">178 x 229 x 368 mm</w:t>
            </w:r>
          </w:p>
        </w:tc>
      </w:tr>
      <w:tr>
        <w:trPr/>
        <w:tc>
          <w:tcPr>
            <w:tcW w:w="3000" w:type="dxa"/>
          </w:tcPr>
          <w:p>
            <w:pPr>
              <w:pStyle w:val="para-small-spacing-after"/>
            </w:pPr>
            <w:r>
              <w:rPr>
                <w:rStyle w:val="font-normal-light"/>
              </w:rPr>
              <w:t xml:space="preserve">Maximum pressure</w:t>
            </w:r>
          </w:p>
        </w:tc>
        <w:tc>
          <w:tcPr>
            <w:tcW w:w="3000" w:type="dxa"/>
          </w:tcPr>
          <w:p>
            <w:pPr>
              <w:pStyle w:val="para-small-spacing-after"/>
            </w:pPr>
            <w:r>
              <w:rPr>
                <w:rStyle w:val="font-normal"/>
              </w:rPr>
              <w:t xml:space="preserve">1700 kPa</w:t>
            </w:r>
          </w:p>
        </w:tc>
      </w:tr>
      <w:tr>
        <w:trPr/>
        <w:tc>
          <w:tcPr>
            <w:tcW w:w="3000" w:type="dxa"/>
          </w:tcPr>
          <w:p>
            <w:pPr>
              <w:pStyle w:val="para-small-spacing-after"/>
            </w:pPr>
            <w:r>
              <w:rPr>
                <w:rStyle w:val="font-normal-light"/>
              </w:rPr>
              <w:t xml:space="preserve">Excitation</w:t>
            </w:r>
          </w:p>
        </w:tc>
        <w:tc>
          <w:tcPr>
            <w:tcW w:w="3000" w:type="dxa"/>
          </w:tcPr>
          <w:p>
            <w:pPr>
              <w:pStyle w:val="para-small-spacing-after"/>
            </w:pPr>
            <w:r>
              <w:rPr>
                <w:rStyle w:val="font-normal"/>
              </w:rPr>
              <w:t xml:space="preserve">10 V DC</w:t>
            </w:r>
          </w:p>
        </w:tc>
      </w:tr>
      <w:tr>
        <w:trPr/>
        <w:tc>
          <w:tcPr>
            <w:tcW w:w="3000" w:type="dxa"/>
          </w:tcPr>
          <w:p>
            <w:pPr>
              <w:pStyle w:val="para-small-spacing-after"/>
            </w:pPr>
            <w:r>
              <w:rPr>
                <w:rStyle w:val="font-normal-light"/>
              </w:rPr>
              <w:t xml:space="preserve">Output</w:t>
            </w:r>
          </w:p>
        </w:tc>
        <w:tc>
          <w:tcPr>
            <w:tcW w:w="3000" w:type="dxa"/>
          </w:tcPr>
          <w:p>
            <w:pPr>
              <w:pStyle w:val="para-small-spacing-after"/>
            </w:pPr>
            <w:r>
              <w:rPr>
                <w:rStyle w:val="font-normal"/>
              </w:rPr>
              <w:t xml:space="preserve">1.25 full range</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80 ml</w:t>
            </w:r>
          </w:p>
        </w:tc>
      </w:tr>
      <w:tr>
        <w:trPr/>
        <w:tc>
          <w:tcPr>
            <w:tcW w:w="3000" w:type="dxa"/>
          </w:tcPr>
          <w:p>
            <w:pPr>
              <w:pStyle w:val="para-small-spacing-after"/>
            </w:pPr>
            <w:r>
              <w:rPr>
                <w:rStyle w:val="font-normal-light"/>
              </w:rPr>
              <w:t xml:space="preserve">Connector</w:t>
            </w:r>
          </w:p>
        </w:tc>
        <w:tc>
          <w:tcPr>
            <w:tcW w:w="3000" w:type="dxa"/>
          </w:tcPr>
          <w:p>
            <w:pPr>
              <w:pStyle w:val="para-small-spacing-after"/>
            </w:pPr>
            <w:r>
              <w:rPr>
                <w:rStyle w:val="font-normal"/>
              </w:rPr>
              <w:t xml:space="preserve">5-pin DIN type</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4.5</w:t>
            </w:r>
          </w:p>
        </w:tc>
      </w:tr>
      <w:tr>
        <w:trPr/>
        <w:tc>
          <w:tcPr>
            <w:tcW w:w="3000" w:type="dxa"/>
          </w:tcPr>
          <w:p>
            <w:pPr>
              <w:pStyle w:val="para-small-spacing-after"/>
            </w:pPr>
            <w:r>
              <w:rPr>
                <w:rStyle w:val="font-normal-light"/>
              </w:rPr>
              <w:t xml:space="preserve">Maximum Pressure</w:t>
            </w:r>
          </w:p>
        </w:tc>
        <w:tc>
          <w:tcPr>
            <w:tcW w:w="3000" w:type="dxa"/>
          </w:tcPr>
          <w:p>
            <w:pPr>
              <w:pStyle w:val="para-small-spacing-after"/>
            </w:pPr>
            <w:r>
              <w:rPr>
                <w:rStyle w:val="font-normal"/>
              </w:rPr>
              <w:t xml:space="preserve">250 psi (1,700 kPa).</w:t>
            </w:r>
          </w:p>
        </w:tc>
      </w:tr>
      <w:tr>
        <w:trPr/>
        <w:tc>
          <w:tcPr>
            <w:tcW w:w="3000" w:type="dxa"/>
          </w:tcPr>
          <w:p>
            <w:pPr>
              <w:pStyle w:val="para-small-spacing-after"/>
            </w:pPr>
            <w:r>
              <w:rPr>
                <w:rStyle w:val="font-normal-light"/>
              </w:rPr>
              <w:t xml:space="preserve">Excitation</w:t>
            </w:r>
          </w:p>
        </w:tc>
        <w:tc>
          <w:tcPr>
            <w:tcW w:w="3000" w:type="dxa"/>
          </w:tcPr>
          <w:p>
            <w:pPr>
              <w:pStyle w:val="para-small-spacing-after"/>
            </w:pPr>
            <w:r>
              <w:rPr>
                <w:rStyle w:val="font-normal"/>
              </w:rPr>
              <w:t xml:space="preserve">10vDC.</w:t>
            </w:r>
          </w:p>
        </w:tc>
      </w:tr>
      <w:tr>
        <w:trPr/>
        <w:tc>
          <w:tcPr>
            <w:tcW w:w="3000" w:type="dxa"/>
          </w:tcPr>
          <w:p>
            <w:pPr>
              <w:pStyle w:val="para-small-spacing-after"/>
            </w:pPr>
            <w:r>
              <w:rPr>
                <w:rStyle w:val="font-normal-light"/>
              </w:rPr>
              <w:t xml:space="preserve">Output</w:t>
            </w:r>
          </w:p>
        </w:tc>
        <w:tc>
          <w:tcPr>
            <w:tcW w:w="3000" w:type="dxa"/>
          </w:tcPr>
          <w:p>
            <w:pPr>
              <w:pStyle w:val="para-small-spacing-after"/>
            </w:pPr>
            <w:r>
              <w:rPr>
                <w:rStyle w:val="font-normal"/>
              </w:rPr>
              <w:t xml:space="preserve">1.25 Volts full range.</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80 cc x 0.1 cc sensitivity.</w:t>
            </w:r>
          </w:p>
        </w:tc>
      </w:tr>
      <w:tr>
        <w:trPr/>
        <w:tc>
          <w:tcPr>
            <w:tcW w:w="3000" w:type="dxa"/>
          </w:tcPr>
          <w:p>
            <w:pPr>
              <w:pStyle w:val="para-small-spacing-after"/>
            </w:pPr>
            <w:r>
              <w:rPr>
                <w:rStyle w:val="font-normal-light"/>
              </w:rPr>
              <w:t xml:space="preserve">Case</w:t>
            </w:r>
          </w:p>
        </w:tc>
        <w:tc>
          <w:tcPr>
            <w:tcW w:w="3000" w:type="dxa"/>
          </w:tcPr>
          <w:p>
            <w:pPr>
              <w:pStyle w:val="para-small-spacing-after"/>
            </w:pPr>
            <w:r>
              <w:rPr>
                <w:rStyle w:val="font-normal"/>
              </w:rPr>
              <w:t xml:space="preserve">Steel; hinged for access to piping.</w:t>
            </w:r>
          </w:p>
        </w:tc>
      </w:tr>
      <w:tr>
        <w:trPr/>
        <w:tc>
          <w:tcPr>
            <w:tcW w:w="3000" w:type="dxa"/>
          </w:tcPr>
          <w:p>
            <w:pPr>
              <w:pStyle w:val="para-small-spacing-after"/>
            </w:pPr>
            <w:r>
              <w:rPr>
                <w:rStyle w:val="font-normal-light"/>
              </w:rPr>
              <w:t xml:space="preserve">Connector</w:t>
            </w:r>
          </w:p>
        </w:tc>
        <w:tc>
          <w:tcPr>
            <w:tcW w:w="3000" w:type="dxa"/>
          </w:tcPr>
          <w:p>
            <w:pPr>
              <w:pStyle w:val="para-small-spacing-after"/>
            </w:pPr>
            <w:r>
              <w:rPr>
                <w:rStyle w:val="font-normal"/>
              </w:rPr>
              <w:t xml:space="preserve">5-Pin DIN type.</w:t>
            </w:r>
          </w:p>
        </w:tc>
      </w:tr>
      <w:tr>
        <w:trPr/>
        <w:tc>
          <w:tcPr>
            <w:tcW w:w="3000" w:type="dxa"/>
          </w:tcPr>
          <w:p>
            <w:pPr>
              <w:pStyle w:val="para-small-spacing-after"/>
            </w:pPr>
            <w:r>
              <w:rPr>
                <w:rStyle w:val="font-normal-light"/>
              </w:rPr>
              <w:t xml:space="preserve">Overall Dimensions</w:t>
            </w:r>
          </w:p>
        </w:tc>
        <w:tc>
          <w:tcPr>
            <w:tcW w:w="3000" w:type="dxa"/>
          </w:tcPr>
          <w:p>
            <w:pPr>
              <w:pStyle w:val="para-small-spacing-after"/>
            </w:pPr>
            <w:r>
              <w:rPr>
                <w:rStyle w:val="font-normal"/>
              </w:rPr>
              <w:t xml:space="preserve">9” w. x 7” d. x 14 -1/2” h. (22 9 x 178 x 368 mm).</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10 lbs. (4.5 kg).</w:t>
            </w:r>
          </w:p>
        </w:tc>
      </w:tr>
      <w:tr>
        <w:trPr/>
        <w:tc>
          <w:tcPr>
            <w:tcW w:w="3000" w:type="dxa"/>
          </w:tcPr>
          <w:p>
            <w:pPr>
              <w:pStyle w:val="para-small-spacing-after"/>
            </w:pPr>
            <w:r>
              <w:rPr>
                <w:rStyle w:val="font-normal-light"/>
              </w:rPr>
              <w:t xml:space="preserve">Maximum Pressure</w:t>
            </w:r>
          </w:p>
        </w:tc>
        <w:tc>
          <w:tcPr>
            <w:tcW w:w="3000" w:type="dxa"/>
          </w:tcPr>
          <w:p>
            <w:pPr>
              <w:pStyle w:val="para-small-spacing-after"/>
            </w:pPr>
            <w:r>
              <w:rPr>
                <w:rStyle w:val="font-normal"/>
              </w:rPr>
              <w:t xml:space="preserve">250 psi (1,700 kPa).</w:t>
            </w:r>
          </w:p>
        </w:tc>
      </w:tr>
      <w:tr>
        <w:trPr/>
        <w:tc>
          <w:tcPr>
            <w:tcW w:w="3000" w:type="dxa"/>
          </w:tcPr>
          <w:p>
            <w:pPr>
              <w:pStyle w:val="para-small-spacing-after"/>
            </w:pPr>
            <w:r>
              <w:rPr>
                <w:rStyle w:val="font-normal-light"/>
              </w:rPr>
              <w:t xml:space="preserve">Excitation</w:t>
            </w:r>
          </w:p>
        </w:tc>
        <w:tc>
          <w:tcPr>
            <w:tcW w:w="3000" w:type="dxa"/>
          </w:tcPr>
          <w:p>
            <w:pPr>
              <w:pStyle w:val="para-small-spacing-after"/>
            </w:pPr>
            <w:r>
              <w:rPr>
                <w:rStyle w:val="font-normal"/>
              </w:rPr>
              <w:t xml:space="preserve">10vDC.</w:t>
            </w:r>
          </w:p>
        </w:tc>
      </w:tr>
      <w:tr>
        <w:trPr/>
        <w:tc>
          <w:tcPr>
            <w:tcW w:w="3000" w:type="dxa"/>
          </w:tcPr>
          <w:p>
            <w:pPr>
              <w:pStyle w:val="para-small-spacing-after"/>
            </w:pPr>
            <w:r>
              <w:rPr>
                <w:rStyle w:val="font-normal-light"/>
              </w:rPr>
              <w:t xml:space="preserve">Output</w:t>
            </w:r>
          </w:p>
        </w:tc>
        <w:tc>
          <w:tcPr>
            <w:tcW w:w="3000" w:type="dxa"/>
          </w:tcPr>
          <w:p>
            <w:pPr>
              <w:pStyle w:val="para-small-spacing-after"/>
            </w:pPr>
            <w:r>
              <w:rPr>
                <w:rStyle w:val="font-normal"/>
              </w:rPr>
              <w:t xml:space="preserve">1.25 Volts full range.</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80 cc x 0.1 cc sensitivity.</w:t>
            </w:r>
          </w:p>
        </w:tc>
      </w:tr>
      <w:tr>
        <w:trPr/>
        <w:tc>
          <w:tcPr>
            <w:tcW w:w="3000" w:type="dxa"/>
          </w:tcPr>
          <w:p>
            <w:pPr>
              <w:pStyle w:val="para-small-spacing-after"/>
            </w:pPr>
            <w:r>
              <w:rPr>
                <w:rStyle w:val="font-normal-light"/>
              </w:rPr>
              <w:t xml:space="preserve">Case</w:t>
            </w:r>
          </w:p>
        </w:tc>
        <w:tc>
          <w:tcPr>
            <w:tcW w:w="3000" w:type="dxa"/>
          </w:tcPr>
          <w:p>
            <w:pPr>
              <w:pStyle w:val="para-small-spacing-after"/>
            </w:pPr>
            <w:r>
              <w:rPr>
                <w:rStyle w:val="font-normal"/>
              </w:rPr>
              <w:t xml:space="preserve">Steel; hinged for access to piping.</w:t>
            </w:r>
          </w:p>
        </w:tc>
      </w:tr>
      <w:tr>
        <w:trPr/>
        <w:tc>
          <w:tcPr>
            <w:tcW w:w="3000" w:type="dxa"/>
          </w:tcPr>
          <w:p>
            <w:pPr>
              <w:pStyle w:val="para-small-spacing-after"/>
            </w:pPr>
            <w:r>
              <w:rPr>
                <w:rStyle w:val="font-normal-light"/>
              </w:rPr>
              <w:t xml:space="preserve">Connector</w:t>
            </w:r>
          </w:p>
        </w:tc>
        <w:tc>
          <w:tcPr>
            <w:tcW w:w="3000" w:type="dxa"/>
          </w:tcPr>
          <w:p>
            <w:pPr>
              <w:pStyle w:val="para-small-spacing-after"/>
            </w:pPr>
            <w:r>
              <w:rPr>
                <w:rStyle w:val="font-normal"/>
              </w:rPr>
              <w:t xml:space="preserve">5-Pin DIN type.</w:t>
            </w:r>
          </w:p>
        </w:tc>
      </w:tr>
      <w:tr>
        <w:trPr/>
        <w:tc>
          <w:tcPr>
            <w:tcW w:w="3000" w:type="dxa"/>
          </w:tcPr>
          <w:p>
            <w:pPr>
              <w:pStyle w:val="para-small-spacing-after"/>
            </w:pPr>
            <w:r>
              <w:rPr>
                <w:rStyle w:val="font-normal-light"/>
              </w:rPr>
              <w:t xml:space="preserve">Overall Dimensions</w:t>
            </w:r>
          </w:p>
        </w:tc>
        <w:tc>
          <w:tcPr>
            <w:tcW w:w="3000" w:type="dxa"/>
          </w:tcPr>
          <w:p>
            <w:pPr>
              <w:pStyle w:val="para-small-spacing-after"/>
            </w:pPr>
            <w:r>
              <w:rPr>
                <w:rStyle w:val="font-normal"/>
              </w:rPr>
              <w:t xml:space="preserve">9” w. x 7” d. x 14 -1/2” h. (22 9 x 178 x 368 mm).</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10 lbs. (4.5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2016-02-09T16:40:26+00:00</dcterms:created>
  <dcterms:modified xsi:type="dcterms:W3CDTF">2016-02-09T16:40:26+00:00</dcterms:modified>
</cp:coreProperties>
</file>

<file path=docProps/custom.xml><?xml version="1.0" encoding="utf-8"?>
<Properties xmlns="http://schemas.openxmlformats.org/officeDocument/2006/custom-properties" xmlns:vt="http://schemas.openxmlformats.org/officeDocument/2006/docPropsVTypes"/>
</file>