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421.05263157895px; margin-top:0px; margin-left:0px;">
                  <v:imagedata r:id="rId8" o:title=""/>
                </v:shape>
              </w:pict>
            </w:r>
          </w:p>
        </w:tc>
        <w:tc>
          <w:tcPr>
            <w:tcW w:w="5000" w:type="dxa"/>
          </w:tcPr>
          <w:p>
            <w:pPr>
              <w:pStyle w:val="para-normal"/>
            </w:pPr>
            <w:r>
              <w:rPr>
                <w:rStyle w:val="font-product-name"/>
              </w:rPr>
              <w:t xml:space="preserve">Constant Level Tank.</w:t>
            </w:r>
          </w:p>
          <w:p>
            <w:pPr>
              <w:pStyle w:val="para-small-spacing-after"/>
            </w:pPr>
            <w:r>
              <w:rPr>
                <w:rStyle w:val="font-normal-light"/>
              </w:rPr>
              <w:t xml:space="preserve">Code: </w:t>
            </w:r>
            <w:r>
              <w:rPr>
                <w:rStyle w:val="font-normal-highlight"/>
              </w:rPr>
              <w:t xml:space="preserve">25-0593</w:t>
            </w:r>
          </w:p>
          <w:p>
            <w:pPr>
              <w:pStyle w:val="para-normal"/>
            </w:pPr>
            <w:r>
              <w:rPr>
                <w:rStyle w:val="font-normal-light"/>
              </w:rPr>
              <w:t xml:space="preserve">Product Group: </w:t>
            </w:r>
            <w:r>
              <w:rPr>
                <w:rStyle w:val="font-normal-highlight"/>
              </w:rPr>
              <w:t xml:space="preserve">Constant Head Apparatus</w:t>
            </w:r>
          </w:p>
          <w:p>
            <w:pPr>
              <w:pStyle w:val="para-normal"/>
            </w:pPr>
            <w:r>
              <w:rPr>
                <w:rStyle w:val="font-normal"/>
              </w:rPr>
              <w:t xml:space="preserve">Manufactured from transparent plastic with attachment for wall mounting. The inlet, outlet and overflow pipes are fitted to the base
of the tank and can be adjusted for height within the tank. Supplied complete with connecting tubing.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BS 1377, EN 1997-2, ASTM D2434, AASHTO T215</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2016-02-09T16:37:29+00:00</dcterms:created>
  <dcterms:modified xsi:type="dcterms:W3CDTF">2016-02-09T16:37:29+00:00</dcterms:modified>
</cp:coreProperties>
</file>

<file path=docProps/custom.xml><?xml version="1.0" encoding="utf-8"?>
<Properties xmlns="http://schemas.openxmlformats.org/officeDocument/2006/custom-properties" xmlns:vt="http://schemas.openxmlformats.org/officeDocument/2006/docPropsVTypes"/>
</file>