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Digital Point Load Test Apparatus.</w:t>
            </w:r>
          </w:p>
          <w:p>
            <w:pPr>
              <w:pStyle w:val="para-small-spacing-after"/>
            </w:pPr>
            <w:r>
              <w:rPr>
                <w:rStyle w:val="font-normal-light"/>
              </w:rPr>
              <w:t xml:space="preserve">Code: </w:t>
            </w:r>
            <w:r>
              <w:rPr>
                <w:rStyle w:val="font-normal-highlight"/>
              </w:rPr>
              <w:t xml:space="preserve">77-0115</w:t>
            </w:r>
          </w:p>
          <w:p>
            <w:pPr>
              <w:pStyle w:val="para-normal"/>
            </w:pPr>
            <w:r>
              <w:rPr>
                <w:rStyle w:val="font-normal-light"/>
              </w:rPr>
              <w:t xml:space="preserve">Product Group: </w:t>
            </w:r>
            <w:r>
              <w:rPr>
                <w:rStyle w:val="font-normal-highlight"/>
              </w:rPr>
              <w:t xml:space="preserve">Digital Point Load Tester, Point-Load Strength Test</w:t>
            </w:r>
          </w:p>
          <w:p>
            <w:pPr>
              <w:pStyle w:val="para-normal"/>
            </w:pPr>
            <w:r>
              <w:rPr>
                <w:rStyle w:val="font-normal"/>
              </w:rPr>
              <w:t xml:space="preserve">Originally developed at Imperial College, London, the apparatus comprises a two-column fixed crosshead frame and a hand operated hydraulic jack.
Pressure applied by the jack extends the piston carrying the lower conical point. The upper point is fixed to the crosshead with a scale mounted on the frame to provide specimen diameter information for use in point load strength index calculations.
Pressure is indicated directly on the digital readout unit. Loads up to 55 kN can be applied to specimens as large as 101.6 mm in diameter.
The apparatus is supplied complete with heavy-duty face mask.</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EN DD ENV 1997-2, ASTM D5731</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55 kN</w:t>
            </w:r>
          </w:p>
        </w:tc>
      </w:tr>
      <w:tr>
        <w:trPr/>
        <w:tc>
          <w:tcPr>
            <w:tcW w:w="3000" w:type="dxa"/>
          </w:tcPr>
          <w:p>
            <w:pPr>
              <w:pStyle w:val="para-small-spacing-after"/>
            </w:pPr>
            <w:r>
              <w:rPr>
                <w:rStyle w:val="font-normal-light"/>
              </w:rPr>
              <w:t xml:space="preserve">Maximum sample size</w:t>
            </w:r>
          </w:p>
        </w:tc>
        <w:tc>
          <w:tcPr>
            <w:tcW w:w="3000" w:type="dxa"/>
          </w:tcPr>
          <w:p>
            <w:pPr>
              <w:pStyle w:val="para-small-spacing-after"/>
            </w:pPr>
            <w:r>
              <w:rPr>
                <w:rStyle w:val="font-normal"/>
              </w:rPr>
              <w:t xml:space="preserve">101.6 mm</w:t>
            </w:r>
          </w:p>
        </w:tc>
      </w:tr>
      <w:tr>
        <w:trPr/>
        <w:tc>
          <w:tcPr>
            <w:tcW w:w="3000" w:type="dxa"/>
          </w:tcPr>
          <w:p>
            <w:pPr>
              <w:pStyle w:val="para-small-spacing-after"/>
            </w:pPr>
            <w:r>
              <w:rPr>
                <w:rStyle w:val="font-normal-light"/>
              </w:rPr>
              <w:t xml:space="preserve">Load range</w:t>
            </w:r>
          </w:p>
        </w:tc>
        <w:tc>
          <w:tcPr>
            <w:tcW w:w="3000" w:type="dxa"/>
          </w:tcPr>
          <w:p>
            <w:pPr>
              <w:pStyle w:val="para-small-spacing-after"/>
            </w:pPr>
            <w:r>
              <w:rPr>
                <w:rStyle w:val="font-normal"/>
              </w:rPr>
              <w:t xml:space="preserve">0 to 55 kN x 0.001 kN</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25 kg</w:t>
            </w:r>
          </w:p>
        </w:tc>
      </w:tr>
      <w:tr>
        <w:trPr/>
        <w:tc>
          <w:tcPr>
            <w:tcW w:w="3000" w:type="dxa"/>
          </w:tcPr>
          <w:p>
            <w:pPr>
              <w:pStyle w:val="para-small-spacing-after"/>
            </w:pPr>
            <w:r>
              <w:rPr>
                <w:rStyle w:val="font-normal-light"/>
              </w:rPr>
              <w:t xml:space="preserve">Capacity</w:t>
            </w:r>
          </w:p>
        </w:tc>
        <w:tc>
          <w:tcPr>
            <w:tcW w:w="3000" w:type="dxa"/>
          </w:tcPr>
          <w:p>
            <w:pPr>
              <w:pStyle w:val="para-small-spacing-after"/>
            </w:pPr>
            <w:r>
              <w:rPr>
                <w:rStyle w:val="font-normal"/>
              </w:rPr>
              <w:t xml:space="preserve">13 ,000 lbf. (55 kN).</w:t>
            </w:r>
          </w:p>
        </w:tc>
      </w:tr>
      <w:tr>
        <w:trPr/>
        <w:tc>
          <w:tcPr>
            <w:tcW w:w="3000" w:type="dxa"/>
          </w:tcPr>
          <w:p>
            <w:pPr>
              <w:pStyle w:val="para-small-spacing-after"/>
            </w:pPr>
            <w:r>
              <w:rPr>
                <w:rStyle w:val="font-normal-light"/>
              </w:rPr>
              <w:t xml:space="preserve">Specimen Size</w:t>
            </w:r>
          </w:p>
        </w:tc>
        <w:tc>
          <w:tcPr>
            <w:tcW w:w="3000" w:type="dxa"/>
          </w:tcPr>
          <w:p>
            <w:pPr>
              <w:pStyle w:val="para-small-spacing-after"/>
            </w:pPr>
            <w:r>
              <w:rPr>
                <w:rStyle w:val="font-normal"/>
              </w:rPr>
              <w:t xml:space="preserve">4â (101.6 mm) maximum.</w:t>
            </w:r>
          </w:p>
        </w:tc>
      </w:tr>
      <w:tr>
        <w:trPr/>
        <w:tc>
          <w:tcPr>
            <w:tcW w:w="3000" w:type="dxa"/>
          </w:tcPr>
          <w:p>
            <w:pPr>
              <w:pStyle w:val="para-small-spacing-after"/>
            </w:pPr>
            <w:r>
              <w:rPr>
                <w:rStyle w:val="font-normal-light"/>
              </w:rPr>
              <w:t xml:space="preserve">Load Range</w:t>
            </w:r>
          </w:p>
        </w:tc>
        <w:tc>
          <w:tcPr>
            <w:tcW w:w="3000" w:type="dxa"/>
          </w:tcPr>
          <w:p>
            <w:pPr>
              <w:pStyle w:val="para-small-spacing-after"/>
            </w:pPr>
            <w:r>
              <w:rPr>
                <w:rStyle w:val="font-normal"/>
              </w:rPr>
              <w:t xml:space="preserve">0-13 ,000 lbf. (55 kN) x 0.2 lbf. (0.001 kN).</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60 lbs. (27.2 kg).</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2000" w:type="dxa"/>
        <w:gridCol w:w="7000" w:type="dxa"/>
      </w:tblGrid>
      <w:tblPr>
        <w:tblStyle w:val="table-normal"/>
      </w:tblPr>
      <w:tr>
        <w:trPr/>
        <w:tc>
          <w:tcPr>
            <w:tcW w:w="9000" w:type="dxa"/>
          </w:tcPr>
          <w:p>
            <w:pPr>
              <w:pStyle w:val="para-normal"/>
            </w:pPr>
            <w:r>
              <w:rPr>
                <w:rStyle w:val="font-related-products"/>
              </w:rPr>
              <w:t xml:space="preserve">Spares/Consumables</w:t>
            </w:r>
          </w:p>
        </w:tc>
      </w:tr>
      <w:tr>
        <w:trPr/>
        <w:tc>
          <w:tcPr>
            <w:tcW w:w="" w:type="dxa"/>
          </w:tcPr>
          <w:p>
            <w:pPr>
              <w:pStyle w:val="para-no-spacing-after"/>
            </w:pPr>
            <w:pPr>
              <w:rPr>
                <w:rStyle w:val="font-normal"/>
              </w:rPr>
            </w:pPr>
          </w:p>
        </w:tc>
      </w:tr>
      <w:tr>
        <w:trPr>
          <w:trHeight w:val="0" w:hRule="atLeast"/>
          <w:cantSplit w:val="1"/>
        </w:trPr>
        <w:tc>
          <w:tcPr>
            <w:tcW w:w="2000" w:type="dxa"/>
          </w:tcPr>
          <w:p>
            <w:pPr/>
            <w:r>
              <w:pict>
                <v:shape type="#_x0000_t75" style="mso-width-percent:0; mso-height-percent:0; mso-width-relative:margin; mso-height-relative:margin; width:100px; height:100px; margin-top:0px; margin-left:0px;">
                  <v:imagedata r:id="rId8" o:title=""/>
                </v:shape>
              </w:pict>
            </w:r>
          </w:p>
        </w:tc>
        <w:tc>
          <w:tcPr>
            <w:tcW w:w="7000" w:type="dxa"/>
          </w:tcPr>
          <w:p>
            <w:pPr>
              <w:pStyle w:val="para-normal"/>
            </w:pPr>
            <w:r>
              <w:rPr>
                <w:rStyle w:val="font-product-name"/>
              </w:rPr>
              <w:t xml:space="preserve">Set of Cones for Digital Point Load Tester</w:t>
            </w:r>
          </w:p>
          <w:p>
            <w:pPr>
              <w:pStyle w:val="para-small-spacing-after"/>
            </w:pPr>
            <w:r>
              <w:rPr>
                <w:rStyle w:val="font-normal-light"/>
              </w:rPr>
              <w:t xml:space="preserve">Code: </w:t>
            </w:r>
            <w:r>
              <w:rPr>
                <w:rStyle w:val="font-normal-highlight"/>
              </w:rPr>
              <w:t xml:space="preserve">77-0115/10</w:t>
            </w:r>
          </w:p>
        </w:tc>
      </w:tr>
      <w:tr>
        <w:trPr/>
        <w:tc>
          <w:tcPr>
            <w:tcW w:w="" w:type="dxa"/>
          </w:tcPr>
          <w:p>
            <w:pPr>
              <w:pStyle w:val="para-no-spacing-after"/>
            </w:pPr>
            <w:pPr>
              <w:rPr>
                <w:rStyle w:val="font-normal"/>
              </w:rPr>
            </w:pPr>
          </w:p>
        </w:tc>
      </w:tr>
    </w:tbl>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2016-02-09T16:52:05+00:00</dcterms:created>
  <dcterms:modified xsi:type="dcterms:W3CDTF">2016-02-09T16:52:05+00:00</dcterms:modified>
</cp:coreProperties>
</file>

<file path=docProps/custom.xml><?xml version="1.0" encoding="utf-8"?>
<Properties xmlns="http://schemas.openxmlformats.org/officeDocument/2006/custom-properties" xmlns:vt="http://schemas.openxmlformats.org/officeDocument/2006/docPropsVTypes"/>
</file>